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AF" w:rsidRPr="00CF7D49" w:rsidRDefault="00D63EAF" w:rsidP="00D63EA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>Дисципліна: Система організацій соціальної сфери</w:t>
      </w:r>
    </w:p>
    <w:p w:rsidR="00D63EAF" w:rsidRPr="00CF7D49" w:rsidRDefault="00D63EAF" w:rsidP="00D63E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150 (5)</w:t>
      </w:r>
    </w:p>
    <w:p w:rsidR="00D63EAF" w:rsidRPr="00CF7D49" w:rsidRDefault="00D63EAF" w:rsidP="00D63EA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Мета навчальної дисципліни: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ознайомлення студентів зі специфікою діяльності спеціалізованих соціальних служб в Україні в період розбудови сучасної системи соціального захисту населення.</w:t>
      </w:r>
    </w:p>
    <w:p w:rsidR="00D63EAF" w:rsidRPr="00CF7D49" w:rsidRDefault="00D63EAF" w:rsidP="00D63EA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D63EAF" w:rsidRPr="00CF7D49" w:rsidRDefault="00D63EAF" w:rsidP="00D63EA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 xml:space="preserve">  </w:t>
      </w: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знати: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теорію та функцію соціального управління, принципи побудови та функціонування організацій соціальної сфери; 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основи законодавства щодо адміністрування та функціонування організацій соціальної сфери; 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принципи створення та побудови соціальних служб в Україні, напрямки їх роботи; 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структуру та менеджмент системи державних соціальних служб; 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особливості роботи недержавних організацій соціального спрямування та їхньої співпраці з іншими організаціями; 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системність підходу до взаємодії різних організацій соціальної сфери на рівні громади;</w:t>
      </w:r>
    </w:p>
    <w:p w:rsidR="00D63EAF" w:rsidRPr="00CF7D49" w:rsidRDefault="00D63EAF" w:rsidP="00D63EA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перспективи розвитку організацій соціальної сфери в Україні.</w:t>
      </w:r>
    </w:p>
    <w:p w:rsidR="00D63EAF" w:rsidRPr="00CF7D49" w:rsidRDefault="00D63EAF" w:rsidP="00D63EA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 </w:t>
      </w: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</w:p>
    <w:p w:rsidR="00D63EAF" w:rsidRPr="00CF7D49" w:rsidRDefault="00D63EAF" w:rsidP="00D63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використовувати знання законодавства  щодо діяльності організацій соціальної сфери у соціальній роботі; </w:t>
      </w:r>
    </w:p>
    <w:p w:rsidR="00D63EAF" w:rsidRPr="00CF7D49" w:rsidRDefault="00D63EAF" w:rsidP="00D63E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аналізувати ролі, функції та потенціал організацій соціальної сфери; </w:t>
      </w:r>
    </w:p>
    <w:p w:rsidR="00D63EAF" w:rsidRPr="00CF7D49" w:rsidRDefault="00D63EAF" w:rsidP="00D63E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порівнювати принципи, методичне та правове забезпечення діяльності організацій соціальної сфери.</w:t>
      </w:r>
    </w:p>
    <w:p w:rsidR="00D63EAF" w:rsidRPr="00CF7D49" w:rsidRDefault="00D63EAF" w:rsidP="00D63EA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спеціалізованих служб соціальної сфери в реалізації державної соціальної політики.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соціальних служб в Україні. Нормативна база соціальної роботи в Україні.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Департаменту соціального захисту населення.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Пенсійного фонду України.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Державної служби зайнятості.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Фонду соціального страхування з тимчасової втрати непрацездатності.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Національної дитячої гарячої лінії.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Державної служби у справах дітей.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інтегрованих соціальних служб.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Центрів соціальних служб для сім’ї, дітей та молоді.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Територіальних центрів соціального обслуговування (надання соціальних послуг).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Реабілітаційних центрів в Україні та світі.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Роль недержавних організацій соціального спрямування в системі спеціалізованих соціальних служб соціальної сфери України.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Діяльність Товариства Червоного Хреста України.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Діяльність Всеукраїнської організації у справах вимушених переселенців.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Діяльність громадських організацій України та світу.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Діяльність благодійних фондів України та світу.</w:t>
      </w:r>
    </w:p>
    <w:p w:rsidR="00D63EAF" w:rsidRPr="00CF7D49" w:rsidRDefault="00D63EAF" w:rsidP="00D63E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Соціальна діяльність релігійних організацій та національно-культурних товариств.</w:t>
      </w:r>
    </w:p>
    <w:p w:rsidR="00D63EAF" w:rsidRPr="00CF7D49" w:rsidRDefault="00D63EAF" w:rsidP="00D63E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Види робіт: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D63EAF" w:rsidRPr="00CF7D49" w:rsidRDefault="00D63EAF" w:rsidP="00D63EAF">
      <w:pPr>
        <w:jc w:val="both"/>
        <w:rPr>
          <w:color w:val="000000"/>
          <w:lang w:val="uk-UA" w:eastAsia="en-US"/>
        </w:rPr>
      </w:pPr>
    </w:p>
    <w:p w:rsidR="00D63EAF" w:rsidRPr="00CF7D49" w:rsidRDefault="00D63EAF" w:rsidP="00D63EAF">
      <w:pPr>
        <w:tabs>
          <w:tab w:val="left" w:pos="91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03257" w:rsidRPr="00D63EAF" w:rsidRDefault="00003257">
      <w:pPr>
        <w:rPr>
          <w:lang w:val="uk-UA"/>
        </w:rPr>
      </w:pPr>
    </w:p>
    <w:sectPr w:rsidR="00003257" w:rsidRPr="00D6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F15"/>
    <w:multiLevelType w:val="hybridMultilevel"/>
    <w:tmpl w:val="4686E3BA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51728"/>
    <w:multiLevelType w:val="hybridMultilevel"/>
    <w:tmpl w:val="1AC2C466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07EDA"/>
    <w:multiLevelType w:val="hybridMultilevel"/>
    <w:tmpl w:val="7B78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EAF"/>
    <w:rsid w:val="00003257"/>
    <w:rsid w:val="00D6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Grizli777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2020-05-06T12:38:00Z</dcterms:created>
  <dcterms:modified xsi:type="dcterms:W3CDTF">2020-05-06T12:39:00Z</dcterms:modified>
</cp:coreProperties>
</file>