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D3" w:rsidRPr="002D4841" w:rsidRDefault="000E4BD3" w:rsidP="000E4B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4841">
        <w:rPr>
          <w:rFonts w:ascii="Times New Roman" w:hAnsi="Times New Roman"/>
          <w:b/>
          <w:sz w:val="28"/>
          <w:szCs w:val="28"/>
          <w:lang w:val="uk-UA"/>
        </w:rPr>
        <w:t>Освітній рівень: бакалавр</w:t>
      </w:r>
    </w:p>
    <w:p w:rsidR="000E4BD3" w:rsidRPr="002D4841" w:rsidRDefault="000E4BD3" w:rsidP="000E4B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4841">
        <w:rPr>
          <w:rFonts w:ascii="Times New Roman" w:hAnsi="Times New Roman"/>
          <w:b/>
          <w:sz w:val="28"/>
          <w:szCs w:val="28"/>
          <w:lang w:val="uk-UA"/>
        </w:rPr>
        <w:t>Тематика курсових робіт</w:t>
      </w:r>
    </w:p>
    <w:p w:rsidR="000E4BD3" w:rsidRPr="002D4841" w:rsidRDefault="000E4BD3" w:rsidP="000E4B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4841">
        <w:rPr>
          <w:rFonts w:ascii="Times New Roman" w:hAnsi="Times New Roman"/>
          <w:b/>
          <w:sz w:val="28"/>
          <w:szCs w:val="28"/>
          <w:lang w:val="uk-UA"/>
        </w:rPr>
        <w:t>Спеціальність 081 Право</w:t>
      </w:r>
    </w:p>
    <w:p w:rsidR="000E0DA4" w:rsidRPr="002D4841" w:rsidRDefault="000E0DA4" w:rsidP="000E4B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4841">
        <w:rPr>
          <w:rFonts w:ascii="Times New Roman" w:hAnsi="Times New Roman"/>
          <w:b/>
          <w:sz w:val="28"/>
          <w:szCs w:val="28"/>
          <w:lang w:val="uk-UA"/>
        </w:rPr>
        <w:t>Господарське право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1. Поняття господарського права України. Предмет, мета та метод господарського права України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2. Майно суб’єктів господарювання та джерела його формування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3. Відповідальність за правопорушення у сфері господарювання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4. Державна система стандартизації та сертифікації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5. Правове регулювання економічної конкуренції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6. Правове регулювання ціноутворення в Україні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7. Державна реєстрація юридичних осіб та фізичних осіб-підприємців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8. Правовий статус господарських товариств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9. Правовий статус акціонерних товариств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10. Правове становище товариств з обмеженою відповідальністю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11. Повне товариство: поняття і правове становище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12. Господарській договір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13. Загальна характеристика відповідальності суб’єктів господарювання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14. Види господарсько-правової відповідальності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15. Особливості правового регулювання торговельної діяльності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16. Джерела правового регулювання зовнішньо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softHyphen/>
        <w:t>економічної діяльності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17. Зовнішньоекономічний договір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Тема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18. Право, що застосовується до зовнішньоекономічних договорів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19. Міжнародний комерційний арбітраж</w:t>
      </w:r>
      <w:r w:rsidRPr="002D4841">
        <w:rPr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20. Поняття та види фінансових послуг. Їх правове регулювання</w:t>
      </w:r>
      <w:r w:rsidRPr="002D4841">
        <w:rPr>
          <w:rFonts w:ascii="Times New Roman" w:hAnsi="Times New Roman"/>
          <w:sz w:val="28"/>
          <w:szCs w:val="28"/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21. Правове регулювання страхової діяльності в Україні</w:t>
      </w:r>
      <w:r w:rsidRPr="002D4841">
        <w:rPr>
          <w:rFonts w:ascii="Times New Roman" w:hAnsi="Times New Roman"/>
          <w:sz w:val="28"/>
          <w:szCs w:val="28"/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22. Правове регулювання інвестиційної діяльності в Україні</w:t>
      </w:r>
      <w:r w:rsidRPr="002D4841">
        <w:rPr>
          <w:rFonts w:ascii="Times New Roman" w:hAnsi="Times New Roman"/>
          <w:sz w:val="28"/>
          <w:szCs w:val="28"/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23. Поняття та організація фондового ринку в Україні. Його учасники та регулятори</w:t>
      </w:r>
      <w:r w:rsidRPr="002D4841">
        <w:rPr>
          <w:rFonts w:ascii="Times New Roman" w:hAnsi="Times New Roman"/>
          <w:sz w:val="28"/>
          <w:szCs w:val="28"/>
          <w:lang w:val="uk-UA"/>
        </w:rPr>
        <w:t>.</w:t>
      </w:r>
    </w:p>
    <w:p w:rsidR="000E4BD3" w:rsidRPr="002D4841" w:rsidRDefault="000E4BD3" w:rsidP="000E4B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24. Поняття та класифікація цінних паперів</w:t>
      </w:r>
      <w:r w:rsidRPr="002D4841">
        <w:rPr>
          <w:rFonts w:ascii="Times New Roman" w:hAnsi="Times New Roman"/>
          <w:sz w:val="28"/>
          <w:szCs w:val="28"/>
          <w:lang w:val="uk-UA"/>
        </w:rPr>
        <w:t>.</w:t>
      </w:r>
    </w:p>
    <w:p w:rsidR="00FF71E2" w:rsidRPr="002D4841" w:rsidRDefault="000E4BD3" w:rsidP="000E4B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D4841">
        <w:rPr>
          <w:rFonts w:ascii="Times New Roman" w:hAnsi="Times New Roman"/>
          <w:sz w:val="28"/>
          <w:szCs w:val="28"/>
          <w:lang w:val="uk-UA"/>
        </w:rPr>
        <w:t xml:space="preserve">Т е м а </w:t>
      </w:r>
      <w:r w:rsidRPr="002D4841">
        <w:rPr>
          <w:rFonts w:ascii="Times New Roman" w:hAnsi="Times New Roman"/>
          <w:bCs/>
          <w:sz w:val="28"/>
          <w:szCs w:val="28"/>
          <w:lang w:val="uk-UA"/>
        </w:rPr>
        <w:t>25. Особливості правового регулювання господарської діяльності у спеціальних (вільних) економічних зонах</w:t>
      </w:r>
      <w:r w:rsidR="000E0DA4" w:rsidRPr="002D4841">
        <w:rPr>
          <w:rFonts w:ascii="Times New Roman" w:hAnsi="Times New Roman"/>
          <w:sz w:val="28"/>
          <w:szCs w:val="28"/>
          <w:lang w:val="uk-UA"/>
        </w:rPr>
        <w:t>.</w:t>
      </w:r>
    </w:p>
    <w:p w:rsidR="00CA0DAB" w:rsidRPr="002D4841" w:rsidRDefault="00CA0DAB" w:rsidP="000E0D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0DA4" w:rsidRPr="002D4841" w:rsidRDefault="000E0DA4" w:rsidP="000E0D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4841">
        <w:rPr>
          <w:rFonts w:ascii="Times New Roman" w:hAnsi="Times New Roman"/>
          <w:b/>
          <w:sz w:val="28"/>
          <w:szCs w:val="28"/>
          <w:lang w:val="uk-UA"/>
        </w:rPr>
        <w:t>Цивільне право</w:t>
      </w:r>
    </w:p>
    <w:p w:rsidR="00370920" w:rsidRPr="002D4841" w:rsidRDefault="00370920" w:rsidP="00370920">
      <w:pPr>
        <w:tabs>
          <w:tab w:val="left" w:pos="1080"/>
        </w:tabs>
        <w:spacing w:after="0" w:line="240" w:lineRule="auto"/>
        <w:ind w:left="1080"/>
        <w:rPr>
          <w:sz w:val="28"/>
          <w:szCs w:val="28"/>
          <w:u w:val="single"/>
          <w:lang w:val="uk-UA"/>
        </w:rPr>
      </w:pP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1. Правове положення акціонерних товариств у цивільному праві.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2. Класифікація юридичних осіб у цивільному праві.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3. Характеристика цивільно-правових систем світу.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4. Роздрібна купівля-продаж.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5. Поняття та співвідношення зобов’язального права та зобов’язання.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7. Фізична особа-підприємець як суб’єкт цивільних правовідносин.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6. Формування та розвиток цивільного законодавства України.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8. застава як засіб забезпечення виконання зобов’язань.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lastRenderedPageBreak/>
        <w:t>Тема 9. Співвідношення приватного та цивільного права в українському законодавстві.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10. Засоби індивідуалізації юридичних осіб.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11. Кредитування в Україні: формування та розвиток.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12. Новела цивільного кодексу України: спадковий договір.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13. Новели цивільного кодексу України: договори ренти, факторингу, комерційної концесії.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14. Об’єкти права промислової власності.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15. Характеристика недійсних правочинів у цивільному праві.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16. Опіка та піклування в цивільному праві.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 xml:space="preserve">Тема 17. </w:t>
      </w:r>
      <w:proofErr w:type="spellStart"/>
      <w:r w:rsidRPr="002D4841">
        <w:rPr>
          <w:szCs w:val="28"/>
        </w:rPr>
        <w:t>Цивільно–правові</w:t>
      </w:r>
      <w:proofErr w:type="spellEnd"/>
      <w:r w:rsidRPr="002D4841">
        <w:rPr>
          <w:szCs w:val="28"/>
        </w:rPr>
        <w:t xml:space="preserve"> засоби захисту права власності.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 xml:space="preserve">Тема 18. Загальні положення про </w:t>
      </w:r>
      <w:proofErr w:type="spellStart"/>
      <w:r w:rsidRPr="002D4841">
        <w:rPr>
          <w:szCs w:val="28"/>
        </w:rPr>
        <w:t>цивільно–правовий</w:t>
      </w:r>
      <w:proofErr w:type="spellEnd"/>
      <w:r w:rsidRPr="002D4841">
        <w:rPr>
          <w:szCs w:val="28"/>
        </w:rPr>
        <w:t xml:space="preserve"> договір у цивільному праві.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19. Підрядні договори в цивільному праві.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 xml:space="preserve">Тема 20. </w:t>
      </w:r>
      <w:proofErr w:type="spellStart"/>
      <w:r w:rsidRPr="002D4841">
        <w:rPr>
          <w:szCs w:val="28"/>
        </w:rPr>
        <w:t>Недоговірні</w:t>
      </w:r>
      <w:proofErr w:type="spellEnd"/>
      <w:r w:rsidRPr="002D4841">
        <w:rPr>
          <w:szCs w:val="28"/>
        </w:rPr>
        <w:t xml:space="preserve"> зобов’язання у цивільному праві.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21. Правове регулювання обігу цінних паперів у цивільному праві.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22. Речові права на чуже майно у цивільному праві.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23. Страхові відносини в цивільному праві.</w:t>
      </w:r>
    </w:p>
    <w:p w:rsidR="00370920" w:rsidRPr="002D4841" w:rsidRDefault="00370920" w:rsidP="00370920">
      <w:pPr>
        <w:pStyle w:val="a3"/>
        <w:tabs>
          <w:tab w:val="left" w:pos="1080"/>
          <w:tab w:val="left" w:pos="1440"/>
        </w:tabs>
        <w:ind w:right="277"/>
        <w:jc w:val="left"/>
        <w:rPr>
          <w:szCs w:val="28"/>
        </w:rPr>
      </w:pPr>
      <w:r w:rsidRPr="002D4841">
        <w:rPr>
          <w:szCs w:val="28"/>
        </w:rPr>
        <w:t>Тема 24. Договір лізингу у цивільному праві.</w:t>
      </w:r>
    </w:p>
    <w:p w:rsidR="00370920" w:rsidRPr="002D4841" w:rsidRDefault="00370920" w:rsidP="003263A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A0DAB" w:rsidRPr="002D4841" w:rsidRDefault="00CA0DAB" w:rsidP="003263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0DA4" w:rsidRPr="002D4841" w:rsidRDefault="000E0DA4" w:rsidP="003263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4841">
        <w:rPr>
          <w:rFonts w:ascii="Times New Roman" w:hAnsi="Times New Roman"/>
          <w:b/>
          <w:sz w:val="28"/>
          <w:szCs w:val="28"/>
          <w:lang w:val="uk-UA"/>
        </w:rPr>
        <w:t>Цивільний процес</w:t>
      </w:r>
    </w:p>
    <w:p w:rsidR="00CA0DAB" w:rsidRPr="002D4841" w:rsidRDefault="00CA0DAB" w:rsidP="003263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1  Цивільне процесуальне право як галузь права. Цивільний процес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2 Поняття та значення принципів цивільного процесуального права. Цивільні процесуальні правовідносини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3 Сторони в цивільному процесі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4 Треті особи та інші учасники в цивільному процесі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5 Участь у цивільному процесі прокурора, органів державної влади, органів місцевого самоврядування та осіб, яким за законом надане право захищати права і свободи інших осіб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6 Представництво в цивільному процесі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7 Строки в цивільному процесі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8 Підвідомчість цивільних справ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9 Підсудність цивільних справ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10 Витрати та санкції цивільного процесу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11 Наказне провадження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12 Докази і доказування в цивільному процесі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13 Позов у цивільному процесі. Порушення цивільної справи в суді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14 Підготовка цивільних справ до судового розгляду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15 Судовий розгляд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16 Судові рішення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17 Заочний розгляд справи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18 Окреме провадження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19 Апеляційне провадження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lastRenderedPageBreak/>
        <w:t>Тема 20 Касаційне провадження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 xml:space="preserve">Тема 21 Перегляд рішень, ухвал, що набрали законної сили, у зв’язку із </w:t>
      </w:r>
      <w:proofErr w:type="spellStart"/>
      <w:r w:rsidRPr="002D4841">
        <w:rPr>
          <w:sz w:val="28"/>
          <w:szCs w:val="28"/>
          <w:lang w:val="uk-UA"/>
        </w:rPr>
        <w:t>нововиявленими</w:t>
      </w:r>
      <w:proofErr w:type="spellEnd"/>
      <w:r w:rsidRPr="002D4841">
        <w:rPr>
          <w:sz w:val="28"/>
          <w:szCs w:val="28"/>
          <w:lang w:val="uk-UA"/>
        </w:rPr>
        <w:t xml:space="preserve"> обставинами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22 Звернення судових рішень до виконання та поворот виконання</w:t>
      </w:r>
    </w:p>
    <w:p w:rsidR="003263A3" w:rsidRPr="002D4841" w:rsidRDefault="003263A3" w:rsidP="003263A3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2D4841">
        <w:rPr>
          <w:sz w:val="28"/>
          <w:szCs w:val="28"/>
          <w:lang w:val="uk-UA"/>
        </w:rPr>
        <w:t>Тема 23 Цивільне судочинство України з іноземним елементом. Міжнародний цивільний процес</w:t>
      </w:r>
    </w:p>
    <w:p w:rsidR="003263A3" w:rsidRPr="002D4841" w:rsidRDefault="003263A3" w:rsidP="003263A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D4841">
        <w:rPr>
          <w:rFonts w:ascii="Times New Roman" w:hAnsi="Times New Roman"/>
          <w:sz w:val="28"/>
          <w:lang w:val="uk-UA"/>
        </w:rPr>
        <w:t>Тема 24.</w:t>
      </w:r>
      <w:r w:rsidRPr="002D4841">
        <w:rPr>
          <w:rFonts w:ascii="Times New Roman" w:hAnsi="Times New Roman"/>
          <w:sz w:val="28"/>
          <w:szCs w:val="28"/>
          <w:lang w:val="uk-UA"/>
        </w:rPr>
        <w:t>Виконавче провадження у структурі цивільного процесу</w:t>
      </w:r>
    </w:p>
    <w:p w:rsidR="003263A3" w:rsidRPr="002D4841" w:rsidRDefault="003263A3" w:rsidP="003263A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D4841">
        <w:rPr>
          <w:rFonts w:ascii="Times New Roman" w:hAnsi="Times New Roman"/>
          <w:sz w:val="28"/>
          <w:lang w:val="uk-UA"/>
        </w:rPr>
        <w:t>Тема 25.</w:t>
      </w:r>
      <w:r w:rsidRPr="002D4841">
        <w:rPr>
          <w:rFonts w:ascii="Times New Roman" w:hAnsi="Times New Roman"/>
          <w:sz w:val="28"/>
          <w:szCs w:val="28"/>
          <w:lang w:val="uk-UA"/>
        </w:rPr>
        <w:t>Відновлення втраченого судового провадження</w:t>
      </w:r>
    </w:p>
    <w:p w:rsidR="003263A3" w:rsidRPr="002D4841" w:rsidRDefault="003263A3" w:rsidP="000E0D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263A3" w:rsidRPr="002D4841" w:rsidRDefault="003263A3" w:rsidP="003263A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263A3" w:rsidRPr="002D4841" w:rsidRDefault="003263A3" w:rsidP="000E0D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3263A3" w:rsidRPr="002D4841" w:rsidSect="00FF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1D99"/>
    <w:multiLevelType w:val="hybridMultilevel"/>
    <w:tmpl w:val="42A40A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BD3"/>
    <w:rsid w:val="000E0DA4"/>
    <w:rsid w:val="000E4BD3"/>
    <w:rsid w:val="0026748E"/>
    <w:rsid w:val="002D4841"/>
    <w:rsid w:val="003263A3"/>
    <w:rsid w:val="00370920"/>
    <w:rsid w:val="00CA0DAB"/>
    <w:rsid w:val="00FF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D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092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a4">
    <w:name w:val="Основной текст Знак"/>
    <w:basedOn w:val="a0"/>
    <w:link w:val="a3"/>
    <w:rsid w:val="00370920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5">
    <w:name w:val="Normal (Web)"/>
    <w:basedOn w:val="a"/>
    <w:uiPriority w:val="99"/>
    <w:rsid w:val="00326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3263A3"/>
    <w:pPr>
      <w:ind w:left="720"/>
      <w:contextualSpacing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688</Words>
  <Characters>3926</Characters>
  <Application>Microsoft Office Word</Application>
  <DocSecurity>0</DocSecurity>
  <Lines>32</Lines>
  <Paragraphs>9</Paragraphs>
  <ScaleCrop>false</ScaleCrop>
  <Company>Grizli777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user53</cp:lastModifiedBy>
  <cp:revision>6</cp:revision>
  <dcterms:created xsi:type="dcterms:W3CDTF">2020-05-07T08:32:00Z</dcterms:created>
  <dcterms:modified xsi:type="dcterms:W3CDTF">2020-05-07T08:43:00Z</dcterms:modified>
</cp:coreProperties>
</file>