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BCE7C" w14:textId="1D2B248C" w:rsidR="00072A74" w:rsidRPr="000E5003" w:rsidRDefault="00CF60A5" w:rsidP="00CF60A5">
      <w:pPr>
        <w:jc w:val="center"/>
        <w:rPr>
          <w:szCs w:val="28"/>
          <w:lang w:val="uk-UA"/>
        </w:rPr>
      </w:pPr>
      <w:r w:rsidRPr="000E5003">
        <w:rPr>
          <w:b/>
          <w:szCs w:val="28"/>
          <w:lang w:val="uk-UA"/>
        </w:rPr>
        <w:t>Опис навчальної дисципліни</w:t>
      </w:r>
      <w:r w:rsidRPr="000E5003">
        <w:rPr>
          <w:szCs w:val="28"/>
          <w:lang w:val="uk-UA"/>
        </w:rPr>
        <w:t xml:space="preserve"> «</w:t>
      </w:r>
      <w:r w:rsidR="007D011C" w:rsidRPr="000E5003">
        <w:rPr>
          <w:szCs w:val="28"/>
          <w:u w:val="single"/>
          <w:lang w:val="uk-UA"/>
        </w:rPr>
        <w:t>Медико-біологічний контроль</w:t>
      </w:r>
      <w:r w:rsidRPr="000E5003">
        <w:rPr>
          <w:szCs w:val="28"/>
          <w:lang w:val="uk-UA"/>
        </w:rPr>
        <w:t>»</w:t>
      </w:r>
    </w:p>
    <w:p w14:paraId="2C7E71ED" w14:textId="18B783A0" w:rsidR="00965AB7" w:rsidRPr="000E5003" w:rsidRDefault="00965AB7" w:rsidP="00965AB7">
      <w:pPr>
        <w:widowControl w:val="0"/>
        <w:ind w:left="232" w:firstLine="0"/>
        <w:rPr>
          <w:rFonts w:eastAsia="Times New Roman" w:cs="Times New Roman"/>
          <w:sz w:val="24"/>
          <w:szCs w:val="24"/>
          <w:lang w:val="uk-UA" w:eastAsia="ru-RU"/>
        </w:rPr>
      </w:pPr>
      <w:r w:rsidRPr="000E5003">
        <w:rPr>
          <w:rFonts w:eastAsia="Times New Roman" w:cs="Times New Roman"/>
          <w:b/>
          <w:sz w:val="24"/>
          <w:szCs w:val="24"/>
          <w:lang w:val="uk-UA" w:eastAsia="ru-RU"/>
        </w:rPr>
        <w:t>П. І. Б., науковий ступінь, вчене звання НПП</w:t>
      </w:r>
      <w:r w:rsidRPr="000E5003">
        <w:rPr>
          <w:rFonts w:eastAsia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="007D011C" w:rsidRPr="000E5003">
        <w:rPr>
          <w:rFonts w:eastAsia="Times New Roman" w:cs="Times New Roman"/>
          <w:sz w:val="24"/>
          <w:szCs w:val="24"/>
          <w:lang w:val="uk-UA" w:eastAsia="ru-RU"/>
        </w:rPr>
        <w:t>Клеценко</w:t>
      </w:r>
      <w:proofErr w:type="spellEnd"/>
      <w:r w:rsidR="007D011C" w:rsidRPr="000E5003"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="007D011C" w:rsidRPr="000E5003">
        <w:rPr>
          <w:rFonts w:eastAsia="Times New Roman" w:cs="Times New Roman"/>
          <w:sz w:val="24"/>
          <w:szCs w:val="24"/>
          <w:lang w:val="uk-UA" w:eastAsia="ru-RU"/>
        </w:rPr>
        <w:t>Людмила Василівна</w:t>
      </w:r>
      <w:r w:rsidRPr="000E5003">
        <w:rPr>
          <w:rFonts w:eastAsia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7D011C" w:rsidRPr="000E5003">
        <w:rPr>
          <w:rFonts w:eastAsia="Times New Roman" w:cs="Times New Roman"/>
          <w:sz w:val="24"/>
          <w:szCs w:val="24"/>
          <w:lang w:val="uk-UA" w:eastAsia="ru-RU"/>
        </w:rPr>
        <w:t>к.п.н</w:t>
      </w:r>
      <w:proofErr w:type="spellEnd"/>
      <w:r w:rsidR="007D011C" w:rsidRPr="000E5003">
        <w:rPr>
          <w:rFonts w:eastAsia="Times New Roman" w:cs="Times New Roman"/>
          <w:sz w:val="24"/>
          <w:szCs w:val="24"/>
          <w:lang w:val="uk-UA" w:eastAsia="ru-RU"/>
        </w:rPr>
        <w:t>., доцент</w:t>
      </w:r>
    </w:p>
    <w:p w14:paraId="09E56492" w14:textId="0FFF6108" w:rsidR="00965AB7" w:rsidRPr="000E5003" w:rsidRDefault="00965AB7" w:rsidP="00965AB7">
      <w:pPr>
        <w:widowControl w:val="0"/>
        <w:tabs>
          <w:tab w:val="left" w:pos="9437"/>
        </w:tabs>
        <w:spacing w:after="9"/>
        <w:ind w:left="232" w:firstLine="0"/>
        <w:rPr>
          <w:rFonts w:eastAsia="Times New Roman" w:cs="Times New Roman"/>
          <w:sz w:val="24"/>
          <w:szCs w:val="24"/>
          <w:lang w:val="uk-UA" w:eastAsia="ru-RU"/>
        </w:rPr>
      </w:pPr>
      <w:bookmarkStart w:id="0" w:name="OLE_LINK1"/>
      <w:r w:rsidRPr="000E5003">
        <w:rPr>
          <w:rFonts w:eastAsia="Times New Roman" w:cs="Times New Roman"/>
          <w:b/>
          <w:sz w:val="24"/>
          <w:szCs w:val="24"/>
          <w:lang w:val="uk-UA" w:eastAsia="ru-RU"/>
        </w:rPr>
        <w:t>Кафедра</w:t>
      </w:r>
      <w:r w:rsidRPr="000E5003">
        <w:rPr>
          <w:rFonts w:eastAsia="Times New Roman" w:cs="Times New Roman"/>
          <w:sz w:val="24"/>
          <w:szCs w:val="24"/>
          <w:lang w:val="uk-UA" w:eastAsia="ru-RU"/>
        </w:rPr>
        <w:t xml:space="preserve">: </w:t>
      </w:r>
      <w:r w:rsidR="003161DC" w:rsidRPr="000E5003">
        <w:rPr>
          <w:rFonts w:eastAsia="Times New Roman" w:cs="Times New Roman"/>
          <w:sz w:val="24"/>
          <w:szCs w:val="24"/>
          <w:lang w:val="uk-UA" w:eastAsia="ru-RU"/>
        </w:rPr>
        <w:t>соціальної роботи та спеціальної освіти</w:t>
      </w:r>
      <w:r w:rsidRPr="000E5003">
        <w:rPr>
          <w:rFonts w:eastAsia="Times New Roman" w:cs="Times New Roman"/>
          <w:sz w:val="24"/>
          <w:szCs w:val="24"/>
          <w:lang w:val="uk-UA" w:eastAsia="ru-RU"/>
        </w:rPr>
        <w:tab/>
      </w:r>
      <w:r w:rsidR="003161DC" w:rsidRPr="000E5003">
        <w:rPr>
          <w:rFonts w:eastAsia="Times New Roman" w:cs="Times New Roman"/>
          <w:b/>
          <w:sz w:val="24"/>
          <w:szCs w:val="24"/>
          <w:lang w:val="uk-UA" w:eastAsia="ru-RU"/>
        </w:rPr>
        <w:t>Полтавський інститут економіки та права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0453"/>
      </w:tblGrid>
      <w:tr w:rsidR="000E5003" w:rsidRPr="000E5003" w14:paraId="19C41E62" w14:textId="77777777" w:rsidTr="00792392">
        <w:trPr>
          <w:trHeight w:val="562"/>
        </w:trPr>
        <w:tc>
          <w:tcPr>
            <w:tcW w:w="4673" w:type="dxa"/>
          </w:tcPr>
          <w:bookmarkEnd w:id="0"/>
          <w:p w14:paraId="28FAB384" w14:textId="77777777" w:rsidR="00965AB7" w:rsidRPr="000E5003" w:rsidRDefault="00965AB7" w:rsidP="00965AB7">
            <w:pPr>
              <w:widowControl w:val="0"/>
              <w:tabs>
                <w:tab w:val="left" w:pos="846"/>
                <w:tab w:val="left" w:pos="1213"/>
                <w:tab w:val="left" w:pos="2119"/>
                <w:tab w:val="left" w:pos="3412"/>
              </w:tabs>
              <w:autoSpaceDE w:val="0"/>
              <w:autoSpaceDN w:val="0"/>
              <w:spacing w:line="268" w:lineRule="exact"/>
              <w:ind w:left="107" w:firstLine="0"/>
              <w:rPr>
                <w:rFonts w:eastAsia="Times New Roman" w:cs="Times New Roman"/>
                <w:b/>
                <w:sz w:val="24"/>
                <w:lang w:val="uk-UA"/>
              </w:rPr>
            </w:pPr>
            <w:r w:rsidRPr="000E5003">
              <w:rPr>
                <w:rFonts w:eastAsia="Times New Roman" w:cs="Times New Roman"/>
                <w:b/>
                <w:sz w:val="24"/>
                <w:lang w:val="uk-UA"/>
              </w:rPr>
              <w:t>Назва освітньої (освітніх) програми (програм), для якої (яких) пропонується НД</w:t>
            </w:r>
            <w:r w:rsidRPr="000E5003">
              <w:rPr>
                <w:rFonts w:eastAsia="Times New Roman" w:cs="Times New Roman"/>
                <w:sz w:val="24"/>
                <w:lang w:val="uk-UA"/>
              </w:rPr>
              <w:t>:</w:t>
            </w:r>
          </w:p>
          <w:p w14:paraId="42B11BDF" w14:textId="12D08FA7" w:rsidR="00965AB7" w:rsidRPr="000E5003" w:rsidRDefault="007D011C" w:rsidP="00CF60A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sz w:val="24"/>
                <w:szCs w:val="24"/>
                <w:lang w:val="uk-UA"/>
              </w:rPr>
              <w:t>«Спеціальна освіта»</w:t>
            </w:r>
          </w:p>
        </w:tc>
        <w:tc>
          <w:tcPr>
            <w:tcW w:w="10453" w:type="dxa"/>
          </w:tcPr>
          <w:p w14:paraId="1F87047E" w14:textId="57419AE4" w:rsidR="00965AB7" w:rsidRPr="000E5003" w:rsidRDefault="00965AB7" w:rsidP="00CF60A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Мета</w:t>
            </w:r>
            <w:r w:rsidRPr="000E5003">
              <w:rPr>
                <w:sz w:val="24"/>
                <w:szCs w:val="24"/>
                <w:lang w:val="uk-UA"/>
              </w:rPr>
              <w:t>:</w:t>
            </w:r>
            <w:r w:rsidR="00BF30B6" w:rsidRPr="000E5003">
              <w:rPr>
                <w:sz w:val="24"/>
                <w:szCs w:val="24"/>
                <w:lang w:val="uk-UA"/>
              </w:rPr>
              <w:t xml:space="preserve"> </w:t>
            </w:r>
            <w:r w:rsidR="00BF30B6" w:rsidRPr="000E5003">
              <w:rPr>
                <w:sz w:val="24"/>
                <w:szCs w:val="24"/>
                <w:lang w:val="uk-UA"/>
              </w:rPr>
              <w:t xml:space="preserve">сприяти формуванню у майбутніх спеціалістів з фізичного виховання чіткого розуміння і усвідомлення науково </w:t>
            </w:r>
            <w:proofErr w:type="spellStart"/>
            <w:r w:rsidR="00BF30B6" w:rsidRPr="000E5003">
              <w:rPr>
                <w:sz w:val="24"/>
                <w:szCs w:val="24"/>
                <w:lang w:val="uk-UA"/>
              </w:rPr>
              <w:t>обгрунтованого</w:t>
            </w:r>
            <w:proofErr w:type="spellEnd"/>
            <w:r w:rsidR="00BF30B6" w:rsidRPr="000E5003">
              <w:rPr>
                <w:sz w:val="24"/>
                <w:szCs w:val="24"/>
                <w:lang w:val="uk-UA"/>
              </w:rPr>
              <w:t xml:space="preserve"> підходу до процесу фізичного виховання різних груп населення на основі глибоких знань вікових, статевих, індивідуальних особливостей і закономірностей функціонування різних систем організму для підвищення адаптаційних можливостей та збереження здоров’я.</w:t>
            </w:r>
          </w:p>
        </w:tc>
      </w:tr>
      <w:tr w:rsidR="000E5003" w:rsidRPr="000E5003" w14:paraId="12472D51" w14:textId="77777777" w:rsidTr="005A2080">
        <w:trPr>
          <w:trHeight w:val="20"/>
        </w:trPr>
        <w:tc>
          <w:tcPr>
            <w:tcW w:w="4673" w:type="dxa"/>
          </w:tcPr>
          <w:p w14:paraId="1E45DA28" w14:textId="4A295EC4" w:rsidR="007D011C" w:rsidRPr="000E5003" w:rsidRDefault="00370559" w:rsidP="007D011C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Тип і назва освітньої програми</w:t>
            </w:r>
            <w:r w:rsidRPr="000E5003">
              <w:rPr>
                <w:sz w:val="24"/>
                <w:szCs w:val="24"/>
                <w:lang w:val="uk-UA"/>
              </w:rPr>
              <w:t>:</w:t>
            </w:r>
            <w:r w:rsidR="00EC39F7" w:rsidRPr="000E5003">
              <w:rPr>
                <w:sz w:val="24"/>
                <w:szCs w:val="24"/>
                <w:lang w:val="uk-UA"/>
              </w:rPr>
              <w:t xml:space="preserve"> </w:t>
            </w:r>
            <w:r w:rsidR="007D011C" w:rsidRPr="000E5003">
              <w:rPr>
                <w:sz w:val="24"/>
                <w:szCs w:val="24"/>
                <w:lang w:val="uk-UA"/>
              </w:rPr>
              <w:t>«Спеціальна освіта»</w:t>
            </w:r>
          </w:p>
        </w:tc>
        <w:tc>
          <w:tcPr>
            <w:tcW w:w="10453" w:type="dxa"/>
            <w:vMerge w:val="restart"/>
          </w:tcPr>
          <w:p w14:paraId="78CEF89C" w14:textId="77777777" w:rsidR="00370559" w:rsidRPr="000E5003" w:rsidRDefault="00370559" w:rsidP="00637897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Результати навчання (РНД)</w:t>
            </w:r>
            <w:r w:rsidRPr="000E5003">
              <w:rPr>
                <w:sz w:val="24"/>
                <w:szCs w:val="24"/>
                <w:lang w:val="uk-UA"/>
              </w:rPr>
              <w:t>:</w:t>
            </w:r>
            <w:r w:rsidR="00637897" w:rsidRPr="000E5003">
              <w:rPr>
                <w:sz w:val="24"/>
                <w:szCs w:val="24"/>
                <w:lang w:val="uk-UA"/>
              </w:rPr>
              <w:t xml:space="preserve"> </w:t>
            </w:r>
          </w:p>
          <w:p w14:paraId="711B2368" w14:textId="73E52DFB" w:rsidR="00BF30B6" w:rsidRPr="000E5003" w:rsidRDefault="00BF30B6" w:rsidP="00BF30B6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330" w:lineRule="exact"/>
              <w:ind w:right="20"/>
              <w:jc w:val="both"/>
            </w:pPr>
            <w:r w:rsidRPr="000E5003">
              <w:rPr>
                <w:sz w:val="24"/>
                <w:szCs w:val="24"/>
                <w:lang w:val="uk-UA" w:eastAsia="uk-UA" w:bidi="uk-UA"/>
              </w:rPr>
              <w:t>Особливості функціональних змін, які виникають в основних системах організму при заняттях фізично</w:t>
            </w:r>
            <w:r w:rsidRPr="000E5003">
              <w:rPr>
                <w:sz w:val="24"/>
                <w:szCs w:val="24"/>
                <w:lang w:val="uk-UA" w:eastAsia="uk-UA" w:bidi="uk-UA"/>
              </w:rPr>
              <w:t>ю культурою;</w:t>
            </w:r>
          </w:p>
          <w:p w14:paraId="392A4F62" w14:textId="445D810E" w:rsidR="00BF30B6" w:rsidRPr="000E5003" w:rsidRDefault="00BF30B6" w:rsidP="00BF30B6">
            <w:pPr>
              <w:pStyle w:val="1"/>
              <w:numPr>
                <w:ilvl w:val="0"/>
                <w:numId w:val="1"/>
              </w:numPr>
              <w:shd w:val="clear" w:color="auto" w:fill="auto"/>
              <w:ind w:right="20"/>
              <w:jc w:val="both"/>
            </w:pPr>
            <w:r w:rsidRPr="000E5003">
              <w:rPr>
                <w:sz w:val="24"/>
                <w:szCs w:val="24"/>
                <w:lang w:val="uk-UA" w:eastAsia="uk-UA" w:bidi="uk-UA"/>
              </w:rPr>
              <w:t xml:space="preserve"> </w:t>
            </w:r>
            <w:r w:rsidRPr="000E5003">
              <w:rPr>
                <w:sz w:val="24"/>
                <w:szCs w:val="24"/>
                <w:lang w:val="uk-UA" w:eastAsia="uk-UA" w:bidi="uk-UA"/>
              </w:rPr>
              <w:t>Фізіологічні механізми, які беруть учать у адаптації організму людини до фізичних навантажень різного характеру та потужності;</w:t>
            </w:r>
          </w:p>
          <w:p w14:paraId="27342D28" w14:textId="1DEF14BA" w:rsidR="00BF30B6" w:rsidRPr="000E5003" w:rsidRDefault="00BF30B6" w:rsidP="00BF30B6">
            <w:pPr>
              <w:pStyle w:val="1"/>
              <w:numPr>
                <w:ilvl w:val="0"/>
                <w:numId w:val="1"/>
              </w:numPr>
              <w:shd w:val="clear" w:color="auto" w:fill="auto"/>
              <w:ind w:right="20"/>
              <w:jc w:val="both"/>
              <w:rPr>
                <w:lang w:val="uk-UA"/>
              </w:rPr>
            </w:pPr>
            <w:r w:rsidRPr="000E5003">
              <w:rPr>
                <w:sz w:val="24"/>
                <w:szCs w:val="24"/>
                <w:lang w:val="uk-UA" w:eastAsia="uk-UA" w:bidi="uk-UA"/>
              </w:rPr>
              <w:t xml:space="preserve"> </w:t>
            </w:r>
            <w:r w:rsidRPr="000E5003">
              <w:rPr>
                <w:sz w:val="24"/>
                <w:szCs w:val="24"/>
                <w:lang w:val="uk-UA" w:eastAsia="uk-UA" w:bidi="uk-UA"/>
              </w:rPr>
              <w:t xml:space="preserve">Фізіологічні </w:t>
            </w:r>
            <w:r w:rsidRPr="000E5003">
              <w:rPr>
                <w:sz w:val="24"/>
                <w:szCs w:val="24"/>
                <w:lang w:val="uk-UA" w:eastAsia="uk-UA" w:bidi="uk-UA"/>
              </w:rPr>
              <w:t>основи фізичного тренування дітей, підлітків, жінок та людей похилого віку з врахуванням рівня їх фізичного розвитку та функціонального стану для підвищення їх адаптаційних можливостей та збереження і покращення здоров’я;</w:t>
            </w:r>
          </w:p>
          <w:p w14:paraId="221B743E" w14:textId="6E14D074" w:rsidR="001362C5" w:rsidRPr="000E5003" w:rsidRDefault="00BF30B6" w:rsidP="00BF30B6">
            <w:pPr>
              <w:pStyle w:val="1"/>
              <w:numPr>
                <w:ilvl w:val="0"/>
                <w:numId w:val="1"/>
              </w:numPr>
              <w:shd w:val="clear" w:color="auto" w:fill="auto"/>
              <w:ind w:right="2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sz w:val="24"/>
                <w:szCs w:val="24"/>
                <w:lang w:val="uk-UA" w:eastAsia="uk-UA" w:bidi="uk-UA"/>
              </w:rPr>
              <w:t xml:space="preserve">  </w:t>
            </w:r>
            <w:r w:rsidRPr="000E5003">
              <w:rPr>
                <w:sz w:val="24"/>
                <w:szCs w:val="24"/>
                <w:lang w:val="uk-UA" w:eastAsia="uk-UA" w:bidi="uk-UA"/>
              </w:rPr>
              <w:t xml:space="preserve">Особливості </w:t>
            </w:r>
            <w:r w:rsidRPr="000E5003">
              <w:rPr>
                <w:sz w:val="24"/>
                <w:szCs w:val="24"/>
                <w:lang w:val="uk-UA" w:eastAsia="uk-UA" w:bidi="uk-UA"/>
              </w:rPr>
              <w:t xml:space="preserve">функціонування основних фізіологічних систем організму, що забезпечують адаптацію та високий рівень працездатності людини в різних </w:t>
            </w:r>
            <w:proofErr w:type="spellStart"/>
            <w:r w:rsidRPr="000E5003">
              <w:rPr>
                <w:sz w:val="24"/>
                <w:szCs w:val="24"/>
                <w:lang w:val="uk-UA" w:eastAsia="uk-UA" w:bidi="uk-UA"/>
              </w:rPr>
              <w:t>клімато</w:t>
            </w:r>
            <w:proofErr w:type="spellEnd"/>
            <w:r w:rsidRPr="000E5003">
              <w:rPr>
                <w:sz w:val="24"/>
                <w:szCs w:val="24"/>
                <w:lang w:val="uk-UA" w:eastAsia="uk-UA" w:bidi="uk-UA"/>
              </w:rPr>
              <w:t>-географічних умовах навколишнього середовища.</w:t>
            </w:r>
          </w:p>
        </w:tc>
      </w:tr>
      <w:tr w:rsidR="000E5003" w:rsidRPr="000E5003" w14:paraId="3C243438" w14:textId="77777777" w:rsidTr="005A2080">
        <w:trPr>
          <w:trHeight w:val="20"/>
        </w:trPr>
        <w:tc>
          <w:tcPr>
            <w:tcW w:w="4673" w:type="dxa"/>
          </w:tcPr>
          <w:p w14:paraId="4FA23825" w14:textId="3559C1D8" w:rsidR="00370559" w:rsidRPr="000E5003" w:rsidRDefault="00370559" w:rsidP="00CF60A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Рівень вищої освіти</w:t>
            </w:r>
            <w:r w:rsidRPr="000E5003">
              <w:rPr>
                <w:sz w:val="24"/>
                <w:szCs w:val="24"/>
                <w:lang w:val="uk-UA"/>
              </w:rPr>
              <w:t>:</w:t>
            </w:r>
            <w:r w:rsidR="00EC39F7" w:rsidRPr="000E5003">
              <w:rPr>
                <w:sz w:val="24"/>
                <w:szCs w:val="24"/>
                <w:lang w:val="uk-UA"/>
              </w:rPr>
              <w:t xml:space="preserve"> </w:t>
            </w:r>
            <w:r w:rsidR="00BF30B6" w:rsidRPr="000E5003">
              <w:rPr>
                <w:sz w:val="24"/>
                <w:szCs w:val="24"/>
                <w:lang w:val="uk-UA"/>
              </w:rPr>
              <w:t>магістр</w:t>
            </w:r>
          </w:p>
        </w:tc>
        <w:tc>
          <w:tcPr>
            <w:tcW w:w="10453" w:type="dxa"/>
            <w:vMerge/>
          </w:tcPr>
          <w:p w14:paraId="1D50B45E" w14:textId="77777777" w:rsidR="00370559" w:rsidRPr="000E5003" w:rsidRDefault="00370559" w:rsidP="00CF60A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E5003" w:rsidRPr="000E5003" w14:paraId="305FBCC4" w14:textId="77777777" w:rsidTr="005A2080">
        <w:trPr>
          <w:trHeight w:val="20"/>
        </w:trPr>
        <w:tc>
          <w:tcPr>
            <w:tcW w:w="4673" w:type="dxa"/>
          </w:tcPr>
          <w:p w14:paraId="53F4196A" w14:textId="2756DCAB" w:rsidR="00370559" w:rsidRPr="000E5003" w:rsidRDefault="00370559" w:rsidP="00CF60A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Семестр</w:t>
            </w:r>
            <w:r w:rsidRPr="000E5003">
              <w:rPr>
                <w:sz w:val="24"/>
                <w:szCs w:val="24"/>
                <w:lang w:val="uk-UA"/>
              </w:rPr>
              <w:t>:</w:t>
            </w:r>
            <w:r w:rsidR="00AA5829" w:rsidRPr="000E5003">
              <w:rPr>
                <w:sz w:val="24"/>
                <w:szCs w:val="24"/>
                <w:lang w:val="uk-UA"/>
              </w:rPr>
              <w:t xml:space="preserve"> </w:t>
            </w:r>
            <w:r w:rsidR="007D011C" w:rsidRPr="000E5003">
              <w:rPr>
                <w:sz w:val="24"/>
                <w:szCs w:val="24"/>
                <w:lang w:val="uk-UA"/>
              </w:rPr>
              <w:t>2</w:t>
            </w:r>
          </w:p>
          <w:p w14:paraId="567FE5E0" w14:textId="29547AA3" w:rsidR="00370559" w:rsidRPr="000E5003" w:rsidRDefault="00370559" w:rsidP="00CF60A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Статус НД</w:t>
            </w:r>
            <w:r w:rsidRPr="000E5003">
              <w:rPr>
                <w:sz w:val="24"/>
                <w:szCs w:val="24"/>
                <w:lang w:val="uk-UA"/>
              </w:rPr>
              <w:t>:</w:t>
            </w:r>
            <w:r w:rsidR="00AA5829" w:rsidRPr="000E5003">
              <w:rPr>
                <w:sz w:val="24"/>
                <w:szCs w:val="24"/>
                <w:lang w:val="uk-UA"/>
              </w:rPr>
              <w:t xml:space="preserve"> </w:t>
            </w:r>
            <w:r w:rsidR="00DD1E4B" w:rsidRPr="000E5003">
              <w:rPr>
                <w:sz w:val="24"/>
                <w:szCs w:val="24"/>
                <w:lang w:val="uk-UA"/>
              </w:rPr>
              <w:t>вибіркова</w:t>
            </w:r>
          </w:p>
          <w:p w14:paraId="03A2B193" w14:textId="62E7A87B" w:rsidR="00370559" w:rsidRPr="000E5003" w:rsidRDefault="00370559" w:rsidP="00CF60A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Кількість кредитів/годин</w:t>
            </w:r>
            <w:r w:rsidRPr="000E5003">
              <w:rPr>
                <w:sz w:val="24"/>
                <w:szCs w:val="24"/>
                <w:lang w:val="uk-UA"/>
              </w:rPr>
              <w:t>:</w:t>
            </w:r>
            <w:r w:rsidR="00AA5829" w:rsidRPr="000E5003">
              <w:rPr>
                <w:sz w:val="24"/>
                <w:szCs w:val="24"/>
                <w:lang w:val="uk-UA"/>
              </w:rPr>
              <w:t xml:space="preserve"> </w:t>
            </w:r>
            <w:r w:rsidR="007D011C" w:rsidRPr="000E5003">
              <w:rPr>
                <w:sz w:val="24"/>
                <w:szCs w:val="24"/>
                <w:lang w:val="uk-UA"/>
              </w:rPr>
              <w:t>5</w:t>
            </w:r>
            <w:r w:rsidR="00AA5829" w:rsidRPr="000E5003">
              <w:rPr>
                <w:sz w:val="24"/>
                <w:szCs w:val="24"/>
                <w:lang w:val="uk-UA"/>
              </w:rPr>
              <w:t>/</w:t>
            </w:r>
            <w:r w:rsidR="00DD1E4B" w:rsidRPr="000E5003">
              <w:rPr>
                <w:sz w:val="24"/>
                <w:szCs w:val="24"/>
                <w:lang w:val="uk-UA"/>
              </w:rPr>
              <w:t>1</w:t>
            </w:r>
            <w:r w:rsidR="007D011C" w:rsidRPr="000E5003">
              <w:rPr>
                <w:sz w:val="24"/>
                <w:szCs w:val="24"/>
                <w:lang w:val="uk-UA"/>
              </w:rPr>
              <w:t>5</w:t>
            </w:r>
            <w:r w:rsidR="00AA5829" w:rsidRPr="000E5003">
              <w:rPr>
                <w:sz w:val="24"/>
                <w:szCs w:val="24"/>
                <w:lang w:val="uk-UA"/>
              </w:rPr>
              <w:t>0</w:t>
            </w:r>
          </w:p>
          <w:p w14:paraId="1382F6CC" w14:textId="77777777" w:rsidR="00370559" w:rsidRPr="000E5003" w:rsidRDefault="00370559" w:rsidP="00CF60A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Види індивідуальних завдань</w:t>
            </w:r>
            <w:r w:rsidRPr="000E5003">
              <w:rPr>
                <w:sz w:val="24"/>
                <w:szCs w:val="24"/>
                <w:lang w:val="uk-UA"/>
              </w:rPr>
              <w:t>:</w:t>
            </w:r>
            <w:r w:rsidR="00F977A0" w:rsidRPr="000E5003">
              <w:rPr>
                <w:sz w:val="24"/>
                <w:szCs w:val="24"/>
                <w:lang w:val="uk-UA"/>
              </w:rPr>
              <w:t xml:space="preserve"> реферат, презентація, складання навчальних тестів.</w:t>
            </w:r>
          </w:p>
          <w:p w14:paraId="2242B1E6" w14:textId="77777777" w:rsidR="00370559" w:rsidRPr="000E5003" w:rsidRDefault="00370559" w:rsidP="00CF60A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Вид підсумкового контролю</w:t>
            </w:r>
            <w:r w:rsidRPr="000E5003">
              <w:rPr>
                <w:sz w:val="24"/>
                <w:szCs w:val="24"/>
                <w:lang w:val="uk-UA"/>
              </w:rPr>
              <w:t>:</w:t>
            </w:r>
            <w:r w:rsidR="00FF7762" w:rsidRPr="000E5003">
              <w:rPr>
                <w:sz w:val="24"/>
                <w:szCs w:val="24"/>
                <w:lang w:val="uk-UA"/>
              </w:rPr>
              <w:t xml:space="preserve"> </w:t>
            </w:r>
            <w:r w:rsidR="001362C5" w:rsidRPr="000E5003">
              <w:rPr>
                <w:sz w:val="24"/>
                <w:szCs w:val="24"/>
                <w:lang w:val="uk-UA"/>
              </w:rPr>
              <w:t>залік</w:t>
            </w:r>
          </w:p>
        </w:tc>
        <w:tc>
          <w:tcPr>
            <w:tcW w:w="10453" w:type="dxa"/>
            <w:vMerge/>
          </w:tcPr>
          <w:p w14:paraId="73AF8A76" w14:textId="77777777" w:rsidR="00370559" w:rsidRPr="000E5003" w:rsidRDefault="00370559" w:rsidP="00CF60A5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E5003" w:rsidRPr="000E5003" w14:paraId="284DE5A4" w14:textId="77777777" w:rsidTr="003101B4">
        <w:tc>
          <w:tcPr>
            <w:tcW w:w="15126" w:type="dxa"/>
            <w:gridSpan w:val="2"/>
          </w:tcPr>
          <w:p w14:paraId="5473D80B" w14:textId="77777777" w:rsidR="00874E2A" w:rsidRPr="000E5003" w:rsidRDefault="00874E2A" w:rsidP="00874E2A">
            <w:pPr>
              <w:ind w:firstLine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0E5003">
              <w:rPr>
                <w:b/>
                <w:bCs/>
                <w:sz w:val="24"/>
                <w:szCs w:val="24"/>
                <w:lang w:val="uk-UA"/>
              </w:rPr>
              <w:t>Теми аудиторних занять та самостійної роботи:</w:t>
            </w:r>
          </w:p>
          <w:p w14:paraId="1990920B" w14:textId="77777777" w:rsidR="00FF78AB" w:rsidRPr="000E5003" w:rsidRDefault="00FF78AB" w:rsidP="00FF78AB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sz w:val="24"/>
                <w:szCs w:val="24"/>
                <w:lang w:val="uk-UA"/>
              </w:rPr>
              <w:t>Теми аудиторних занять та самостійної роботи:</w:t>
            </w:r>
          </w:p>
          <w:p w14:paraId="6E37FB73" w14:textId="77777777" w:rsidR="00087A20" w:rsidRPr="000E5003" w:rsidRDefault="00087A20" w:rsidP="00087A20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0"/>
                <w:lang w:val="uk-UA"/>
              </w:rPr>
            </w:pPr>
            <w:r w:rsidRPr="000E5003">
              <w:rPr>
                <w:rFonts w:cs="Times New Roman"/>
                <w:sz w:val="24"/>
                <w:szCs w:val="20"/>
                <w:lang w:val="uk-UA"/>
              </w:rPr>
              <w:t>Медичні обстеження. Види медичних обстежень. Групи стану здоров'я.</w:t>
            </w:r>
          </w:p>
          <w:p w14:paraId="74B64CC8" w14:textId="77777777" w:rsidR="00087A20" w:rsidRPr="000E5003" w:rsidRDefault="00087A20" w:rsidP="00087A20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0"/>
                <w:lang w:val="uk-UA"/>
              </w:rPr>
            </w:pPr>
            <w:r w:rsidRPr="000E5003">
              <w:rPr>
                <w:rFonts w:cs="Times New Roman"/>
                <w:sz w:val="24"/>
                <w:szCs w:val="20"/>
                <w:lang w:val="uk-UA"/>
              </w:rPr>
              <w:t xml:space="preserve">Засоби відновлення працездатності спортсменів </w:t>
            </w:r>
          </w:p>
          <w:p w14:paraId="10AC84FA" w14:textId="77777777" w:rsidR="00087A20" w:rsidRPr="000E5003" w:rsidRDefault="00087A20" w:rsidP="00087A20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0"/>
                <w:lang w:val="uk-UA"/>
              </w:rPr>
            </w:pPr>
            <w:r w:rsidRPr="000E5003">
              <w:rPr>
                <w:rFonts w:cs="Times New Roman"/>
                <w:sz w:val="24"/>
                <w:szCs w:val="20"/>
                <w:lang w:val="uk-UA"/>
              </w:rPr>
              <w:t xml:space="preserve">Зміна стану здоров'я під впливом фізичних навантажень </w:t>
            </w:r>
          </w:p>
          <w:p w14:paraId="45762916" w14:textId="77777777" w:rsidR="00087A20" w:rsidRPr="000E5003" w:rsidRDefault="00087A20" w:rsidP="00087A20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0"/>
                <w:lang w:val="uk-UA"/>
              </w:rPr>
            </w:pPr>
            <w:r w:rsidRPr="000E5003">
              <w:rPr>
                <w:rFonts w:cs="Times New Roman"/>
                <w:sz w:val="24"/>
                <w:szCs w:val="20"/>
                <w:lang w:val="uk-UA"/>
              </w:rPr>
              <w:t xml:space="preserve">Фармакокінетика. </w:t>
            </w:r>
          </w:p>
          <w:p w14:paraId="611308A8" w14:textId="77777777" w:rsidR="00087A20" w:rsidRPr="000E5003" w:rsidRDefault="00087A20" w:rsidP="00087A20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0"/>
                <w:lang w:val="uk-UA"/>
              </w:rPr>
            </w:pPr>
            <w:proofErr w:type="spellStart"/>
            <w:r w:rsidRPr="000E5003">
              <w:rPr>
                <w:rFonts w:cs="Times New Roman"/>
                <w:sz w:val="24"/>
                <w:szCs w:val="20"/>
                <w:lang w:val="uk-UA"/>
              </w:rPr>
              <w:t>Фармакодинаміка</w:t>
            </w:r>
            <w:proofErr w:type="spellEnd"/>
            <w:r w:rsidRPr="000E5003">
              <w:rPr>
                <w:rFonts w:cs="Times New Roman"/>
                <w:sz w:val="24"/>
                <w:szCs w:val="20"/>
                <w:lang w:val="uk-UA"/>
              </w:rPr>
              <w:t>.</w:t>
            </w:r>
          </w:p>
          <w:p w14:paraId="324002CD" w14:textId="77777777" w:rsidR="00087A20" w:rsidRPr="000E5003" w:rsidRDefault="00087A20" w:rsidP="00087A20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0"/>
                <w:lang w:val="uk-UA"/>
              </w:rPr>
            </w:pPr>
            <w:r w:rsidRPr="000E5003">
              <w:rPr>
                <w:rFonts w:cs="Times New Roman"/>
                <w:sz w:val="24"/>
                <w:szCs w:val="20"/>
                <w:lang w:val="uk-UA"/>
              </w:rPr>
              <w:t>Види фармакотерапії і вибір лікарського препарату.</w:t>
            </w:r>
          </w:p>
          <w:p w14:paraId="5CB85048" w14:textId="77777777" w:rsidR="00087A20" w:rsidRPr="000E5003" w:rsidRDefault="00087A20" w:rsidP="00087A20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0"/>
                <w:lang w:val="uk-UA"/>
              </w:rPr>
            </w:pPr>
            <w:r w:rsidRPr="000E5003">
              <w:rPr>
                <w:rFonts w:cs="Times New Roman"/>
                <w:sz w:val="24"/>
                <w:szCs w:val="20"/>
                <w:lang w:val="uk-UA"/>
              </w:rPr>
              <w:t xml:space="preserve">Використання лікарських засобів для прискорення відновлення спортсменів, лікування і профілактики станів перенапруги різних систем організму. </w:t>
            </w:r>
          </w:p>
          <w:p w14:paraId="25ECC3E2" w14:textId="77777777" w:rsidR="00087A20" w:rsidRPr="000E5003" w:rsidRDefault="00087A20" w:rsidP="00087A20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0"/>
                <w:lang w:val="uk-UA"/>
              </w:rPr>
            </w:pPr>
            <w:r w:rsidRPr="000E5003">
              <w:rPr>
                <w:rFonts w:cs="Times New Roman"/>
                <w:sz w:val="24"/>
                <w:szCs w:val="20"/>
                <w:lang w:val="uk-UA"/>
              </w:rPr>
              <w:t xml:space="preserve">Міжнародна конвенція про боротьбу з допінгом у спорті: </w:t>
            </w:r>
          </w:p>
          <w:p w14:paraId="072373E5" w14:textId="77777777" w:rsidR="00087A20" w:rsidRPr="000E5003" w:rsidRDefault="00087A20" w:rsidP="00087A20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0"/>
                <w:lang w:val="uk-UA"/>
              </w:rPr>
            </w:pPr>
            <w:r w:rsidRPr="000E5003">
              <w:rPr>
                <w:rFonts w:cs="Times New Roman"/>
                <w:sz w:val="24"/>
                <w:szCs w:val="20"/>
                <w:lang w:val="uk-UA"/>
              </w:rPr>
              <w:t xml:space="preserve">Допінги. </w:t>
            </w:r>
          </w:p>
          <w:p w14:paraId="7621D3E8" w14:textId="77777777" w:rsidR="00087A20" w:rsidRPr="000E5003" w:rsidRDefault="00087A20" w:rsidP="00087A20">
            <w:pPr>
              <w:pStyle w:val="a4"/>
              <w:numPr>
                <w:ilvl w:val="0"/>
                <w:numId w:val="2"/>
              </w:numPr>
              <w:rPr>
                <w:rFonts w:cs="Times New Roman"/>
                <w:sz w:val="24"/>
                <w:szCs w:val="20"/>
                <w:lang w:val="uk-UA"/>
              </w:rPr>
            </w:pPr>
            <w:r w:rsidRPr="000E5003">
              <w:rPr>
                <w:rFonts w:cs="Times New Roman"/>
                <w:sz w:val="24"/>
                <w:szCs w:val="20"/>
                <w:lang w:val="uk-UA"/>
              </w:rPr>
              <w:t xml:space="preserve">Субстанції і методи, які завжди заборонені (як в змагальний, так і в </w:t>
            </w:r>
            <w:proofErr w:type="spellStart"/>
            <w:r w:rsidRPr="000E5003">
              <w:rPr>
                <w:rFonts w:cs="Times New Roman"/>
                <w:sz w:val="24"/>
                <w:szCs w:val="20"/>
                <w:lang w:val="uk-UA"/>
              </w:rPr>
              <w:t>позазмагальний</w:t>
            </w:r>
            <w:proofErr w:type="spellEnd"/>
            <w:r w:rsidRPr="000E5003">
              <w:rPr>
                <w:rFonts w:cs="Times New Roman"/>
                <w:sz w:val="24"/>
                <w:szCs w:val="20"/>
                <w:lang w:val="uk-UA"/>
              </w:rPr>
              <w:t xml:space="preserve"> період)</w:t>
            </w:r>
          </w:p>
          <w:p w14:paraId="63D97442" w14:textId="2C37DBCD" w:rsidR="00370559" w:rsidRPr="000E5003" w:rsidRDefault="00087A20" w:rsidP="00FD5D0B">
            <w:pPr>
              <w:pStyle w:val="a4"/>
              <w:numPr>
                <w:ilvl w:val="0"/>
                <w:numId w:val="2"/>
              </w:numPr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rFonts w:cs="Times New Roman"/>
                <w:sz w:val="24"/>
                <w:szCs w:val="20"/>
                <w:lang w:val="uk-UA"/>
              </w:rPr>
              <w:t xml:space="preserve">Недопінгові фармакологічні засоби. </w:t>
            </w:r>
          </w:p>
        </w:tc>
      </w:tr>
      <w:tr w:rsidR="000E5003" w:rsidRPr="000E5003" w14:paraId="38A82989" w14:textId="77777777" w:rsidTr="003101B4">
        <w:tc>
          <w:tcPr>
            <w:tcW w:w="15126" w:type="dxa"/>
            <w:gridSpan w:val="2"/>
          </w:tcPr>
          <w:p w14:paraId="0D6A0E02" w14:textId="0E40AADE" w:rsidR="00874E2A" w:rsidRPr="000E5003" w:rsidRDefault="00874E2A" w:rsidP="00874E2A">
            <w:pPr>
              <w:ind w:firstLine="0"/>
              <w:jc w:val="both"/>
              <w:rPr>
                <w:b/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Форми і методи навчання</w:t>
            </w:r>
            <w:r w:rsidRPr="000E5003">
              <w:rPr>
                <w:sz w:val="24"/>
                <w:szCs w:val="24"/>
                <w:lang w:val="uk-UA"/>
              </w:rPr>
              <w:t xml:space="preserve">: лекції, </w:t>
            </w:r>
            <w:r w:rsidR="003161DC" w:rsidRPr="000E5003">
              <w:rPr>
                <w:sz w:val="24"/>
                <w:szCs w:val="24"/>
                <w:lang w:val="uk-UA"/>
              </w:rPr>
              <w:t>практичні</w:t>
            </w:r>
            <w:r w:rsidRPr="000E5003">
              <w:rPr>
                <w:sz w:val="24"/>
                <w:szCs w:val="24"/>
                <w:lang w:val="uk-UA"/>
              </w:rPr>
              <w:t xml:space="preserve"> роботи, індивідуальна та самостійна робота; методи </w:t>
            </w:r>
            <w:r w:rsidRPr="000E5003">
              <w:rPr>
                <w:rFonts w:eastAsia="Calibri" w:cs="Times New Roman"/>
                <w:sz w:val="24"/>
                <w:szCs w:val="24"/>
                <w:lang w:val="uk-UA"/>
              </w:rPr>
              <w:t>проблемного навчання</w:t>
            </w:r>
            <w:r w:rsidRPr="000E5003">
              <w:rPr>
                <w:sz w:val="24"/>
                <w:szCs w:val="24"/>
                <w:lang w:val="uk-UA"/>
              </w:rPr>
              <w:t>.</w:t>
            </w:r>
          </w:p>
        </w:tc>
      </w:tr>
      <w:tr w:rsidR="000E5003" w:rsidRPr="000E5003" w14:paraId="360B1591" w14:textId="77777777" w:rsidTr="003101B4">
        <w:tc>
          <w:tcPr>
            <w:tcW w:w="15126" w:type="dxa"/>
            <w:gridSpan w:val="2"/>
          </w:tcPr>
          <w:p w14:paraId="4F6F7A00" w14:textId="77777777" w:rsidR="00874E2A" w:rsidRPr="000E5003" w:rsidRDefault="00874E2A" w:rsidP="0018773F">
            <w:pPr>
              <w:keepNext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lastRenderedPageBreak/>
              <w:t>Система оцінювання</w:t>
            </w:r>
            <w:r w:rsidRPr="000E5003">
              <w:rPr>
                <w:sz w:val="24"/>
                <w:szCs w:val="24"/>
                <w:lang w:val="uk-UA"/>
              </w:rPr>
              <w:t>:</w:t>
            </w:r>
          </w:p>
          <w:p w14:paraId="02A83F66" w14:textId="77777777" w:rsidR="00874E2A" w:rsidRPr="000E5003" w:rsidRDefault="00874E2A" w:rsidP="00874E2A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sz w:val="24"/>
                <w:szCs w:val="24"/>
                <w:lang w:val="uk-UA"/>
              </w:rPr>
              <w:t xml:space="preserve">– </w:t>
            </w:r>
            <w:r w:rsidRPr="000E5003">
              <w:rPr>
                <w:b/>
                <w:sz w:val="24"/>
                <w:szCs w:val="24"/>
                <w:lang w:val="uk-UA"/>
              </w:rPr>
              <w:t>методи оцінювання</w:t>
            </w:r>
            <w:r w:rsidRPr="000E5003">
              <w:rPr>
                <w:sz w:val="24"/>
                <w:szCs w:val="24"/>
                <w:lang w:val="uk-UA"/>
              </w:rPr>
              <w:t>:</w:t>
            </w:r>
            <w:r w:rsidRPr="000E5003">
              <w:rPr>
                <w:lang w:val="uk-UA"/>
              </w:rPr>
              <w:t xml:space="preserve"> </w:t>
            </w:r>
            <w:r w:rsidRPr="000E5003">
              <w:rPr>
                <w:sz w:val="24"/>
                <w:szCs w:val="24"/>
                <w:lang w:val="uk-UA"/>
              </w:rPr>
              <w:t>усний контроль (індивідуальний та фронтальний), письмовий контроль, тестовий комп'ютерний контроль, контроль практичної діяльності (індивідуальні завдання), метод самоконтролю.</w:t>
            </w:r>
          </w:p>
          <w:p w14:paraId="0B94E707" w14:textId="77777777" w:rsidR="00874E2A" w:rsidRPr="000E5003" w:rsidRDefault="00874E2A" w:rsidP="00874E2A">
            <w:pPr>
              <w:keepNext/>
              <w:keepLines/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sz w:val="24"/>
                <w:szCs w:val="24"/>
                <w:lang w:val="uk-UA"/>
              </w:rPr>
              <w:t xml:space="preserve">– </w:t>
            </w:r>
            <w:r w:rsidRPr="000E5003">
              <w:rPr>
                <w:b/>
                <w:sz w:val="24"/>
                <w:szCs w:val="24"/>
                <w:lang w:val="uk-UA"/>
              </w:rPr>
              <w:t>критерії оцінювання</w:t>
            </w:r>
            <w:r w:rsidRPr="000E5003">
              <w:rPr>
                <w:sz w:val="24"/>
                <w:szCs w:val="24"/>
                <w:lang w:val="uk-UA"/>
              </w:rPr>
              <w:t>:</w:t>
            </w:r>
          </w:p>
          <w:p w14:paraId="6A6FA925" w14:textId="77777777" w:rsidR="00874E2A" w:rsidRPr="000E5003" w:rsidRDefault="00874E2A" w:rsidP="00874E2A">
            <w:pPr>
              <w:keepNext/>
              <w:keepLines/>
              <w:ind w:firstLine="0"/>
              <w:jc w:val="both"/>
              <w:rPr>
                <w:sz w:val="24"/>
                <w:szCs w:val="24"/>
                <w:lang w:val="uk-UA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818"/>
              <w:gridCol w:w="12082"/>
            </w:tblGrid>
            <w:tr w:rsidR="000E5003" w:rsidRPr="000E5003" w14:paraId="3749C0E0" w14:textId="77777777" w:rsidTr="003A01C5">
              <w:tc>
                <w:tcPr>
                  <w:tcW w:w="2818" w:type="dxa"/>
                  <w:vAlign w:val="center"/>
                </w:tcPr>
                <w:p w14:paraId="58B8EAB7" w14:textId="77777777" w:rsidR="00874E2A" w:rsidRPr="000E5003" w:rsidRDefault="00874E2A" w:rsidP="00874E2A">
                  <w:pPr>
                    <w:keepLines/>
                    <w:ind w:firstLine="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0E5003">
                    <w:rPr>
                      <w:b/>
                      <w:sz w:val="24"/>
                      <w:szCs w:val="24"/>
                      <w:lang w:val="uk-UA"/>
                    </w:rPr>
                    <w:t>Сума балів, накопичених студентом у процесі вивчення навчальної дисципліни</w:t>
                  </w:r>
                </w:p>
              </w:tc>
              <w:tc>
                <w:tcPr>
                  <w:tcW w:w="12082" w:type="dxa"/>
                  <w:vAlign w:val="center"/>
                </w:tcPr>
                <w:p w14:paraId="491149D1" w14:textId="77777777" w:rsidR="00874E2A" w:rsidRPr="000E5003" w:rsidRDefault="00874E2A" w:rsidP="00874E2A">
                  <w:pPr>
                    <w:keepLines/>
                    <w:ind w:firstLine="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0E5003">
                    <w:rPr>
                      <w:b/>
                      <w:sz w:val="24"/>
                      <w:szCs w:val="24"/>
                      <w:lang w:val="uk-UA"/>
                    </w:rPr>
                    <w:t>Рівень досягнення студентом запланованих результатів навчання з навчальної дисципліни</w:t>
                  </w:r>
                </w:p>
              </w:tc>
            </w:tr>
            <w:tr w:rsidR="000E5003" w:rsidRPr="000E5003" w14:paraId="235A2B06" w14:textId="77777777" w:rsidTr="003A01C5">
              <w:tc>
                <w:tcPr>
                  <w:tcW w:w="2818" w:type="dxa"/>
                </w:tcPr>
                <w:p w14:paraId="23792512" w14:textId="77777777" w:rsidR="00874E2A" w:rsidRPr="000E5003" w:rsidRDefault="00874E2A" w:rsidP="00874E2A">
                  <w:pPr>
                    <w:ind w:firstLine="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0E5003">
                    <w:rPr>
                      <w:b/>
                      <w:sz w:val="24"/>
                      <w:szCs w:val="24"/>
                      <w:lang w:val="uk-UA"/>
                    </w:rPr>
                    <w:t>90-100</w:t>
                  </w:r>
                </w:p>
              </w:tc>
              <w:tc>
                <w:tcPr>
                  <w:tcW w:w="12082" w:type="dxa"/>
                </w:tcPr>
                <w:p w14:paraId="798FF941" w14:textId="77777777" w:rsidR="00874E2A" w:rsidRPr="000E5003" w:rsidRDefault="00874E2A" w:rsidP="00874E2A">
                  <w:pPr>
                    <w:spacing w:line="216" w:lineRule="auto"/>
                    <w:ind w:right="-108" w:firstLine="0"/>
                    <w:rPr>
                      <w:rFonts w:eastAsia="Calibri"/>
                      <w:sz w:val="24"/>
                      <w:lang w:val="uk-UA"/>
                    </w:rPr>
                  </w:pPr>
                  <w:r w:rsidRPr="000E5003">
                    <w:rPr>
                      <w:rFonts w:eastAsia="Calibri"/>
                      <w:sz w:val="24"/>
                      <w:lang w:val="uk-UA"/>
                    </w:rPr>
                    <w:t>Студент демонструє високий рівень досягнення результатів навчання, що засвідчує його безумовну готовність до подальшого навчання</w:t>
                  </w:r>
                </w:p>
              </w:tc>
            </w:tr>
            <w:tr w:rsidR="000E5003" w:rsidRPr="000E5003" w14:paraId="442C567C" w14:textId="77777777" w:rsidTr="003A01C5">
              <w:tc>
                <w:tcPr>
                  <w:tcW w:w="2818" w:type="dxa"/>
                </w:tcPr>
                <w:p w14:paraId="55315B1F" w14:textId="77777777" w:rsidR="00874E2A" w:rsidRPr="000E5003" w:rsidRDefault="00874E2A" w:rsidP="00874E2A">
                  <w:pPr>
                    <w:ind w:firstLine="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0E5003">
                    <w:rPr>
                      <w:b/>
                      <w:sz w:val="24"/>
                      <w:szCs w:val="24"/>
                      <w:lang w:val="uk-UA"/>
                    </w:rPr>
                    <w:t>75-89</w:t>
                  </w:r>
                </w:p>
              </w:tc>
              <w:tc>
                <w:tcPr>
                  <w:tcW w:w="12082" w:type="dxa"/>
                </w:tcPr>
                <w:p w14:paraId="61819B36" w14:textId="77777777" w:rsidR="00874E2A" w:rsidRPr="000E5003" w:rsidRDefault="00874E2A" w:rsidP="00874E2A">
                  <w:pPr>
                    <w:spacing w:line="216" w:lineRule="auto"/>
                    <w:ind w:right="-108" w:firstLine="0"/>
                    <w:rPr>
                      <w:rFonts w:eastAsia="Calibri"/>
                      <w:sz w:val="24"/>
                      <w:lang w:val="uk-UA"/>
                    </w:rPr>
                  </w:pPr>
                  <w:r w:rsidRPr="000E5003">
                    <w:rPr>
                      <w:rFonts w:eastAsia="Calibri"/>
                      <w:sz w:val="24"/>
                      <w:lang w:val="uk-UA"/>
                    </w:rPr>
                    <w:t>Студент виявляє достатній рівень досягнення кожного із запланованих результатів навчання та готовий до подальшого навчання</w:t>
                  </w:r>
                </w:p>
              </w:tc>
            </w:tr>
            <w:tr w:rsidR="000E5003" w:rsidRPr="000E5003" w14:paraId="23790193" w14:textId="77777777" w:rsidTr="003A01C5">
              <w:tc>
                <w:tcPr>
                  <w:tcW w:w="2818" w:type="dxa"/>
                </w:tcPr>
                <w:p w14:paraId="73FEB427" w14:textId="77777777" w:rsidR="00874E2A" w:rsidRPr="000E5003" w:rsidRDefault="00874E2A" w:rsidP="00874E2A">
                  <w:pPr>
                    <w:ind w:firstLine="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0E5003">
                    <w:rPr>
                      <w:b/>
                      <w:sz w:val="24"/>
                      <w:szCs w:val="24"/>
                      <w:lang w:val="uk-UA"/>
                    </w:rPr>
                    <w:t>60-74</w:t>
                  </w:r>
                </w:p>
              </w:tc>
              <w:tc>
                <w:tcPr>
                  <w:tcW w:w="12082" w:type="dxa"/>
                </w:tcPr>
                <w:p w14:paraId="0D522598" w14:textId="77777777" w:rsidR="00874E2A" w:rsidRPr="000E5003" w:rsidRDefault="00874E2A" w:rsidP="00874E2A">
                  <w:pPr>
                    <w:spacing w:line="216" w:lineRule="auto"/>
                    <w:ind w:right="-108" w:firstLine="0"/>
                    <w:rPr>
                      <w:rFonts w:eastAsia="Calibri"/>
                      <w:sz w:val="24"/>
                      <w:lang w:val="uk-UA"/>
                    </w:rPr>
                  </w:pPr>
                  <w:r w:rsidRPr="000E5003">
                    <w:rPr>
                      <w:rFonts w:eastAsia="Calibri"/>
                      <w:sz w:val="24"/>
                      <w:lang w:val="uk-UA"/>
                    </w:rPr>
                    <w:t>Студент виявляє мінімально достатній  із запланованих результатів навчання для подальшого навчання  за фахом</w:t>
                  </w:r>
                </w:p>
              </w:tc>
            </w:tr>
            <w:tr w:rsidR="000E5003" w:rsidRPr="000E5003" w14:paraId="5E6E615C" w14:textId="77777777" w:rsidTr="003A01C5">
              <w:tc>
                <w:tcPr>
                  <w:tcW w:w="2818" w:type="dxa"/>
                </w:tcPr>
                <w:p w14:paraId="743E3792" w14:textId="77777777" w:rsidR="00874E2A" w:rsidRPr="000E5003" w:rsidRDefault="00874E2A" w:rsidP="00874E2A">
                  <w:pPr>
                    <w:ind w:firstLine="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0E5003">
                    <w:rPr>
                      <w:b/>
                      <w:sz w:val="24"/>
                      <w:szCs w:val="24"/>
                      <w:lang w:val="uk-UA"/>
                    </w:rPr>
                    <w:t>35-59</w:t>
                  </w:r>
                </w:p>
              </w:tc>
              <w:tc>
                <w:tcPr>
                  <w:tcW w:w="12082" w:type="dxa"/>
                </w:tcPr>
                <w:p w14:paraId="11E6CDB5" w14:textId="77777777" w:rsidR="00874E2A" w:rsidRPr="000E5003" w:rsidRDefault="00874E2A" w:rsidP="00874E2A">
                  <w:pPr>
                    <w:spacing w:line="216" w:lineRule="auto"/>
                    <w:ind w:right="-108" w:firstLine="0"/>
                    <w:rPr>
                      <w:rFonts w:eastAsia="Calibri"/>
                      <w:sz w:val="24"/>
                      <w:lang w:val="uk-UA"/>
                    </w:rPr>
                  </w:pPr>
                  <w:r w:rsidRPr="000E5003">
                    <w:rPr>
                      <w:rFonts w:eastAsia="Calibri"/>
                      <w:sz w:val="24"/>
                      <w:lang w:val="uk-UA"/>
                    </w:rPr>
                    <w:t>Рівень названих результатів навчання є недостатнім для подальшого навчання студента за фахом</w:t>
                  </w:r>
                </w:p>
              </w:tc>
            </w:tr>
            <w:tr w:rsidR="000E5003" w:rsidRPr="000E5003" w14:paraId="149429F0" w14:textId="77777777" w:rsidTr="003A01C5">
              <w:tc>
                <w:tcPr>
                  <w:tcW w:w="2818" w:type="dxa"/>
                </w:tcPr>
                <w:p w14:paraId="4B99E0A3" w14:textId="77777777" w:rsidR="00874E2A" w:rsidRPr="000E5003" w:rsidRDefault="00874E2A" w:rsidP="00874E2A">
                  <w:pPr>
                    <w:ind w:firstLine="0"/>
                    <w:jc w:val="center"/>
                    <w:rPr>
                      <w:b/>
                      <w:sz w:val="24"/>
                      <w:szCs w:val="24"/>
                      <w:lang w:val="uk-UA"/>
                    </w:rPr>
                  </w:pPr>
                  <w:r w:rsidRPr="000E5003">
                    <w:rPr>
                      <w:b/>
                      <w:sz w:val="24"/>
                      <w:szCs w:val="24"/>
                      <w:lang w:val="uk-UA"/>
                    </w:rPr>
                    <w:t>0-34</w:t>
                  </w:r>
                </w:p>
              </w:tc>
              <w:tc>
                <w:tcPr>
                  <w:tcW w:w="12082" w:type="dxa"/>
                </w:tcPr>
                <w:p w14:paraId="694B9B5D" w14:textId="77777777" w:rsidR="00874E2A" w:rsidRPr="000E5003" w:rsidRDefault="00874E2A" w:rsidP="00874E2A">
                  <w:pPr>
                    <w:spacing w:line="216" w:lineRule="auto"/>
                    <w:ind w:right="-108" w:firstLine="0"/>
                    <w:rPr>
                      <w:rFonts w:eastAsia="Calibri"/>
                      <w:sz w:val="24"/>
                      <w:lang w:val="uk-UA"/>
                    </w:rPr>
                  </w:pPr>
                  <w:r w:rsidRPr="000E5003">
                    <w:rPr>
                      <w:rFonts w:eastAsia="Calibri"/>
                      <w:sz w:val="24"/>
                      <w:lang w:val="uk-UA"/>
                    </w:rPr>
                    <w:t>Результати навчання практично відсутні</w:t>
                  </w:r>
                </w:p>
              </w:tc>
            </w:tr>
          </w:tbl>
          <w:p w14:paraId="131985ED" w14:textId="77777777" w:rsidR="00874E2A" w:rsidRPr="000E5003" w:rsidRDefault="00874E2A" w:rsidP="00874E2A">
            <w:pPr>
              <w:ind w:firstLine="0"/>
              <w:jc w:val="both"/>
              <w:rPr>
                <w:sz w:val="16"/>
                <w:szCs w:val="16"/>
                <w:lang w:val="uk-UA"/>
              </w:rPr>
            </w:pPr>
          </w:p>
          <w:p w14:paraId="55338F3E" w14:textId="77777777" w:rsidR="00874E2A" w:rsidRPr="000E5003" w:rsidRDefault="00874E2A" w:rsidP="00874E2A">
            <w:pPr>
              <w:ind w:firstLine="0"/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0E5003" w:rsidRPr="000E5003" w14:paraId="0D96C979" w14:textId="77777777" w:rsidTr="003101B4">
        <w:tc>
          <w:tcPr>
            <w:tcW w:w="15126" w:type="dxa"/>
            <w:gridSpan w:val="2"/>
          </w:tcPr>
          <w:p w14:paraId="62471F8F" w14:textId="77777777" w:rsidR="00874E2A" w:rsidRPr="000E5003" w:rsidRDefault="00874E2A" w:rsidP="00874E2A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Основні інформаційні джерела</w:t>
            </w:r>
            <w:r w:rsidRPr="000E5003">
              <w:rPr>
                <w:sz w:val="24"/>
                <w:szCs w:val="24"/>
                <w:lang w:val="uk-UA"/>
              </w:rPr>
              <w:t xml:space="preserve">: </w:t>
            </w:r>
          </w:p>
          <w:p w14:paraId="59805864" w14:textId="77777777" w:rsidR="002B1E3B" w:rsidRPr="000E5003" w:rsidRDefault="002B1E3B" w:rsidP="00E82DF1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sz w:val="24"/>
                <w:szCs w:val="24"/>
                <w:lang w:val="uk-UA"/>
              </w:rPr>
              <w:t xml:space="preserve">Загальна фармакокінетика / За ред. акад. Б.А.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Самури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>. - Тернопіль: ТДМУ, 2009. – 356 с.</w:t>
            </w:r>
          </w:p>
          <w:p w14:paraId="2BCBD703" w14:textId="77777777" w:rsidR="002B1E3B" w:rsidRPr="000E5003" w:rsidRDefault="002B1E3B" w:rsidP="00F32D5B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E5003">
              <w:rPr>
                <w:sz w:val="24"/>
                <w:szCs w:val="24"/>
                <w:lang w:val="uk-UA"/>
              </w:rPr>
              <w:t>Земцова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 І. І. Спортивна фізіологія : навчальний посібник / І. І.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Земцова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>.</w:t>
            </w:r>
            <w:r w:rsidRPr="000E5003">
              <w:rPr>
                <w:sz w:val="24"/>
                <w:szCs w:val="24"/>
                <w:lang w:val="uk-UA"/>
              </w:rPr>
              <w:t xml:space="preserve"> </w:t>
            </w:r>
            <w:r w:rsidRPr="000E5003">
              <w:rPr>
                <w:sz w:val="24"/>
                <w:szCs w:val="24"/>
                <w:lang w:val="uk-UA"/>
              </w:rPr>
              <w:t xml:space="preserve">– Київ: Олімпійська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литература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>, 2018. - 208 с.</w:t>
            </w:r>
          </w:p>
          <w:p w14:paraId="46044A08" w14:textId="77777777" w:rsidR="002B1E3B" w:rsidRPr="000E5003" w:rsidRDefault="002B1E3B" w:rsidP="00E82DF1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sz w:val="24"/>
                <w:szCs w:val="24"/>
                <w:lang w:val="uk-UA"/>
              </w:rPr>
              <w:t>Коляденко Г.І. Анатомія людини. Підручник. К.: Либідь, 2018. – 384с.</w:t>
            </w:r>
          </w:p>
          <w:p w14:paraId="2D98FABC" w14:textId="77777777" w:rsidR="002B1E3B" w:rsidRPr="000E5003" w:rsidRDefault="002B1E3B" w:rsidP="003A1B9D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E5003">
              <w:rPr>
                <w:sz w:val="24"/>
                <w:szCs w:val="24"/>
                <w:lang w:val="uk-UA"/>
              </w:rPr>
              <w:t>Костюкевич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 В.М. «Теорія і методика спортивної підготовки у запитаннях і</w:t>
            </w:r>
            <w:r w:rsidRPr="000E5003">
              <w:rPr>
                <w:sz w:val="24"/>
                <w:szCs w:val="24"/>
                <w:lang w:val="uk-UA"/>
              </w:rPr>
              <w:t xml:space="preserve"> </w:t>
            </w:r>
            <w:r w:rsidRPr="000E5003">
              <w:rPr>
                <w:sz w:val="24"/>
                <w:szCs w:val="24"/>
                <w:lang w:val="uk-UA"/>
              </w:rPr>
              <w:t xml:space="preserve">відповідях»: Навчально-методичний посібник / В.М.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Костюкевич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>. – Вінниця:</w:t>
            </w:r>
            <w:r w:rsidRPr="000E5003">
              <w:rPr>
                <w:sz w:val="24"/>
                <w:szCs w:val="24"/>
                <w:lang w:val="uk-UA"/>
              </w:rPr>
              <w:t xml:space="preserve"> </w:t>
            </w:r>
            <w:r w:rsidRPr="000E5003">
              <w:rPr>
                <w:sz w:val="24"/>
                <w:szCs w:val="24"/>
                <w:lang w:val="uk-UA"/>
              </w:rPr>
              <w:t>Планер, 2016. – 159 с.</w:t>
            </w:r>
          </w:p>
          <w:p w14:paraId="60D7D25D" w14:textId="77777777" w:rsidR="002B1E3B" w:rsidRPr="000E5003" w:rsidRDefault="002B1E3B" w:rsidP="0021389C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sz w:val="24"/>
                <w:szCs w:val="24"/>
                <w:lang w:val="uk-UA"/>
              </w:rPr>
              <w:t>Медико-біологічне забезпечення підготовки спортсменів збірних</w:t>
            </w:r>
            <w:r w:rsidRPr="000E5003">
              <w:rPr>
                <w:sz w:val="24"/>
                <w:szCs w:val="24"/>
                <w:lang w:val="uk-UA"/>
              </w:rPr>
              <w:t xml:space="preserve"> </w:t>
            </w:r>
            <w:r w:rsidRPr="000E5003">
              <w:rPr>
                <w:sz w:val="24"/>
                <w:szCs w:val="24"/>
                <w:lang w:val="uk-UA"/>
              </w:rPr>
              <w:t>команд України з олімпійських видів спорту / [Шинкарук О. А., Лисенко О. М.,</w:t>
            </w:r>
            <w:r w:rsidRPr="000E500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Гуніна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 Л. М. та ін.]; за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заг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>. ред. О. А. Шинкарук. — К.: Олімп. л-ра, 2009. — 144 с.</w:t>
            </w:r>
          </w:p>
          <w:p w14:paraId="52AE3258" w14:textId="77777777" w:rsidR="002B1E3B" w:rsidRPr="000E5003" w:rsidRDefault="002B1E3B" w:rsidP="0021389C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E5003">
              <w:rPr>
                <w:sz w:val="24"/>
                <w:szCs w:val="24"/>
                <w:lang w:val="uk-UA"/>
              </w:rPr>
              <w:t>Посохова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 К.А., Вікторов О.П. Антибіотики (властивості, застосування, взаємодія): Навчальний посібник. - Тернопіль: ТДМУ, 2005. – 296с.</w:t>
            </w:r>
          </w:p>
          <w:p w14:paraId="7FCE3DC5" w14:textId="77777777" w:rsidR="002B1E3B" w:rsidRPr="000E5003" w:rsidRDefault="002B1E3B" w:rsidP="00E82DF1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sz w:val="24"/>
                <w:szCs w:val="24"/>
                <w:lang w:val="uk-UA"/>
              </w:rPr>
              <w:t xml:space="preserve">Фармакотерапія: підручник для студентів фармацевтичних факультетів / Під. ред. О.В.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Крайдашенка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, І.Г.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Купновицької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, І.М. Кліща, В.Г. Лизогуба. – Вінниця: Нова Книга, 2010. – 644 с.: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іл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>.</w:t>
            </w:r>
          </w:p>
          <w:p w14:paraId="2624ACAC" w14:textId="77777777" w:rsidR="002B1E3B" w:rsidRPr="000E5003" w:rsidRDefault="002B1E3B" w:rsidP="00E82DF1">
            <w:pPr>
              <w:pStyle w:val="a4"/>
              <w:numPr>
                <w:ilvl w:val="0"/>
                <w:numId w:val="6"/>
              </w:num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0E5003">
              <w:rPr>
                <w:sz w:val="24"/>
                <w:szCs w:val="24"/>
                <w:lang w:val="uk-UA"/>
              </w:rPr>
              <w:t>Чекман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 І.С.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Нанофармакологія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 / І.С.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Чекман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. – К.: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Задруга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, 2011. – 424 с.: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іл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>.. -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Бібліогр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>.: с. 338-421.</w:t>
            </w:r>
          </w:p>
          <w:p w14:paraId="2B42DC9F" w14:textId="77777777" w:rsidR="00874E2A" w:rsidRPr="000E5003" w:rsidRDefault="00874E2A" w:rsidP="00874E2A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t>Електронні ресурси</w:t>
            </w:r>
            <w:r w:rsidRPr="000E5003">
              <w:rPr>
                <w:sz w:val="24"/>
                <w:szCs w:val="24"/>
                <w:lang w:val="uk-UA"/>
              </w:rPr>
              <w:t xml:space="preserve">: </w:t>
            </w:r>
          </w:p>
          <w:p w14:paraId="3F1694E1" w14:textId="3726CBD8" w:rsidR="00874E2A" w:rsidRPr="000E5003" w:rsidRDefault="001B6E99" w:rsidP="002B1E3B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hyperlink r:id="rId5" w:history="1">
              <w:r w:rsidRPr="000E5003">
                <w:rPr>
                  <w:rStyle w:val="a6"/>
                  <w:color w:val="auto"/>
                  <w:sz w:val="24"/>
                  <w:szCs w:val="24"/>
                  <w:lang w:val="uk-UA"/>
                </w:rPr>
                <w:t>http://mon.gov.ua</w:t>
              </w:r>
            </w:hyperlink>
            <w:r w:rsidRPr="000E5003">
              <w:rPr>
                <w:sz w:val="24"/>
                <w:szCs w:val="24"/>
                <w:lang w:val="uk-UA"/>
              </w:rPr>
              <w:t xml:space="preserve"> </w:t>
            </w:r>
            <w:r w:rsidR="00874E2A" w:rsidRPr="000E5003">
              <w:rPr>
                <w:sz w:val="24"/>
                <w:szCs w:val="24"/>
                <w:lang w:val="uk-UA"/>
              </w:rPr>
              <w:t xml:space="preserve"> — офіційний сайт Міністерства освіти і науки, молоді та спорту України</w:t>
            </w:r>
          </w:p>
          <w:p w14:paraId="1592412D" w14:textId="69D31164" w:rsidR="002B1E3B" w:rsidRPr="000E5003" w:rsidRDefault="002B1E3B" w:rsidP="002B1E3B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hyperlink r:id="rId6" w:history="1">
              <w:r w:rsidRPr="000E5003">
                <w:rPr>
                  <w:rStyle w:val="a6"/>
                  <w:color w:val="auto"/>
                  <w:sz w:val="24"/>
                  <w:szCs w:val="24"/>
                  <w:lang w:val="uk-UA"/>
                </w:rPr>
                <w:t>http://www.sportmedexpo.ru/SportMedicine.html</w:t>
              </w:r>
            </w:hyperlink>
            <w:r w:rsidRPr="000E5003">
              <w:rPr>
                <w:sz w:val="24"/>
                <w:szCs w:val="24"/>
                <w:lang w:val="uk-UA"/>
              </w:rPr>
              <w:t xml:space="preserve"> </w:t>
            </w:r>
          </w:p>
          <w:p w14:paraId="701A1598" w14:textId="75B4CB44" w:rsidR="002B1E3B" w:rsidRPr="000E5003" w:rsidRDefault="002B1E3B" w:rsidP="00033359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hyperlink r:id="rId7" w:history="1">
              <w:r w:rsidRPr="000E5003">
                <w:rPr>
                  <w:rStyle w:val="a6"/>
                  <w:color w:val="auto"/>
                  <w:sz w:val="24"/>
                  <w:szCs w:val="24"/>
                  <w:lang w:val="uk-UA"/>
                </w:rPr>
                <w:t>http://www.sportpharma.ru/book/b1_oglavlenie.htm</w:t>
              </w:r>
            </w:hyperlink>
          </w:p>
          <w:p w14:paraId="774C5034" w14:textId="4D4F23B8" w:rsidR="002B1E3B" w:rsidRPr="000E5003" w:rsidRDefault="002B1E3B" w:rsidP="00033359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hyperlink r:id="rId8" w:history="1">
              <w:r w:rsidRPr="000E5003">
                <w:rPr>
                  <w:rStyle w:val="a6"/>
                  <w:color w:val="auto"/>
                  <w:sz w:val="24"/>
                  <w:szCs w:val="24"/>
                  <w:lang w:val="uk-UA"/>
                </w:rPr>
                <w:t>http://lugor.org.ua/publ/sportivnaja_farmakologija/3-1-0-1377</w:t>
              </w:r>
            </w:hyperlink>
            <w:r w:rsidRPr="000E5003">
              <w:rPr>
                <w:sz w:val="24"/>
                <w:szCs w:val="24"/>
                <w:lang w:val="uk-UA"/>
              </w:rPr>
              <w:t xml:space="preserve"> </w:t>
            </w:r>
          </w:p>
          <w:p w14:paraId="45ADCC68" w14:textId="61A1CB80" w:rsidR="002B1E3B" w:rsidRPr="000E5003" w:rsidRDefault="002B1E3B" w:rsidP="00033359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hyperlink r:id="rId9" w:history="1">
              <w:r w:rsidRPr="000E5003">
                <w:rPr>
                  <w:rStyle w:val="a6"/>
                  <w:color w:val="auto"/>
                  <w:sz w:val="24"/>
                  <w:szCs w:val="24"/>
                  <w:lang w:val="uk-UA"/>
                </w:rPr>
                <w:t>http://www.sportmedexpo.ru/SportMedicine.html</w:t>
              </w:r>
            </w:hyperlink>
            <w:r w:rsidRPr="000E5003">
              <w:rPr>
                <w:sz w:val="24"/>
                <w:szCs w:val="24"/>
                <w:lang w:val="uk-UA"/>
              </w:rPr>
              <w:t xml:space="preserve"> </w:t>
            </w:r>
          </w:p>
          <w:p w14:paraId="378792D0" w14:textId="010D24AE" w:rsidR="002B1E3B" w:rsidRPr="000E5003" w:rsidRDefault="002B1E3B" w:rsidP="00033359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hyperlink r:id="rId10" w:history="1">
              <w:r w:rsidRPr="000E5003">
                <w:rPr>
                  <w:rStyle w:val="a6"/>
                  <w:color w:val="auto"/>
                  <w:sz w:val="24"/>
                  <w:szCs w:val="24"/>
                  <w:lang w:val="uk-UA"/>
                </w:rPr>
                <w:t>http://www.sportpharma.ru/book/b1_oglavlenie.htm</w:t>
              </w:r>
            </w:hyperlink>
            <w:r w:rsidRPr="000E5003">
              <w:rPr>
                <w:sz w:val="24"/>
                <w:szCs w:val="24"/>
                <w:lang w:val="uk-UA"/>
              </w:rPr>
              <w:t xml:space="preserve"> </w:t>
            </w:r>
          </w:p>
          <w:p w14:paraId="083FAB2E" w14:textId="3AE7DEE3" w:rsidR="00874E2A" w:rsidRPr="000E5003" w:rsidRDefault="002B1E3B" w:rsidP="00033359">
            <w:pPr>
              <w:pStyle w:val="a4"/>
              <w:numPr>
                <w:ilvl w:val="0"/>
                <w:numId w:val="8"/>
              </w:numPr>
              <w:jc w:val="both"/>
              <w:rPr>
                <w:sz w:val="24"/>
                <w:szCs w:val="24"/>
                <w:lang w:val="uk-UA"/>
              </w:rPr>
            </w:pPr>
            <w:hyperlink r:id="rId11" w:history="1">
              <w:r w:rsidRPr="000E5003">
                <w:rPr>
                  <w:rStyle w:val="a6"/>
                  <w:color w:val="auto"/>
                  <w:sz w:val="24"/>
                  <w:szCs w:val="24"/>
                  <w:lang w:val="uk-UA"/>
                </w:rPr>
                <w:t>http://lugor.org.ua/publ/sportivnaja_farmakologija/3-1-0-1377</w:t>
              </w:r>
            </w:hyperlink>
            <w:r w:rsidRPr="000E500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E5003" w:rsidRPr="000E5003" w14:paraId="7E55BEE1" w14:textId="77777777" w:rsidTr="003101B4">
        <w:tc>
          <w:tcPr>
            <w:tcW w:w="15126" w:type="dxa"/>
            <w:gridSpan w:val="2"/>
          </w:tcPr>
          <w:p w14:paraId="6CBBDE8D" w14:textId="77777777" w:rsidR="00874E2A" w:rsidRPr="000E5003" w:rsidRDefault="00874E2A" w:rsidP="00874E2A">
            <w:pPr>
              <w:ind w:firstLine="0"/>
              <w:jc w:val="both"/>
              <w:rPr>
                <w:sz w:val="24"/>
                <w:szCs w:val="24"/>
                <w:lang w:val="uk-UA"/>
              </w:rPr>
            </w:pPr>
            <w:r w:rsidRPr="000E5003">
              <w:rPr>
                <w:b/>
                <w:sz w:val="24"/>
                <w:szCs w:val="24"/>
                <w:lang w:val="uk-UA"/>
              </w:rPr>
              <w:lastRenderedPageBreak/>
              <w:t>Забезпечення</w:t>
            </w:r>
            <w:r w:rsidRPr="000E5003">
              <w:rPr>
                <w:sz w:val="24"/>
                <w:szCs w:val="24"/>
                <w:lang w:val="uk-UA"/>
              </w:rPr>
              <w:t xml:space="preserve">: навчально-методичний комплекс дисципліни, мультимедійне обладнання, презентації до тем лекцій в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Power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Point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, підручники, посібники, </w:t>
            </w:r>
            <w:proofErr w:type="spellStart"/>
            <w:r w:rsidRPr="000E5003">
              <w:rPr>
                <w:sz w:val="24"/>
                <w:szCs w:val="24"/>
                <w:lang w:val="uk-UA"/>
              </w:rPr>
              <w:t>підбірка</w:t>
            </w:r>
            <w:proofErr w:type="spellEnd"/>
            <w:r w:rsidRPr="000E5003">
              <w:rPr>
                <w:sz w:val="24"/>
                <w:szCs w:val="24"/>
                <w:lang w:val="uk-UA"/>
              </w:rPr>
              <w:t xml:space="preserve"> документальних фільмів</w:t>
            </w:r>
          </w:p>
        </w:tc>
      </w:tr>
    </w:tbl>
    <w:p w14:paraId="21ABCBB7" w14:textId="77777777" w:rsidR="00CF60A5" w:rsidRPr="000E5003" w:rsidRDefault="00CF60A5" w:rsidP="00CF60A5">
      <w:pPr>
        <w:jc w:val="both"/>
        <w:rPr>
          <w:sz w:val="24"/>
          <w:szCs w:val="24"/>
          <w:lang w:val="uk-UA"/>
        </w:rPr>
      </w:pPr>
    </w:p>
    <w:sectPr w:rsidR="00CF60A5" w:rsidRPr="000E5003" w:rsidSect="00CF60A5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E1035"/>
    <w:multiLevelType w:val="hybridMultilevel"/>
    <w:tmpl w:val="1AE6568C"/>
    <w:lvl w:ilvl="0" w:tplc="D79E69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B30C5"/>
    <w:multiLevelType w:val="hybridMultilevel"/>
    <w:tmpl w:val="F7F049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ED34B2"/>
    <w:multiLevelType w:val="hybridMultilevel"/>
    <w:tmpl w:val="A20AE1D6"/>
    <w:lvl w:ilvl="0" w:tplc="9F38A0FC">
      <w:start w:val="1"/>
      <w:numFmt w:val="decimal"/>
      <w:lvlText w:val="Тема 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6E1AB1"/>
    <w:multiLevelType w:val="hybridMultilevel"/>
    <w:tmpl w:val="4306C54C"/>
    <w:lvl w:ilvl="0" w:tplc="D79E69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370A9"/>
    <w:multiLevelType w:val="hybridMultilevel"/>
    <w:tmpl w:val="263C2A3A"/>
    <w:lvl w:ilvl="0" w:tplc="D79E69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633E4"/>
    <w:multiLevelType w:val="multilevel"/>
    <w:tmpl w:val="D1B0E546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23298A"/>
    <w:multiLevelType w:val="hybridMultilevel"/>
    <w:tmpl w:val="B114FF3E"/>
    <w:lvl w:ilvl="0" w:tplc="9F38A0FC">
      <w:start w:val="1"/>
      <w:numFmt w:val="decimal"/>
      <w:lvlText w:val="Тема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C15C0"/>
    <w:multiLevelType w:val="hybridMultilevel"/>
    <w:tmpl w:val="4D644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9C"/>
    <w:rsid w:val="00033359"/>
    <w:rsid w:val="00056C7D"/>
    <w:rsid w:val="00072A74"/>
    <w:rsid w:val="0007694C"/>
    <w:rsid w:val="00087A20"/>
    <w:rsid w:val="000D44C9"/>
    <w:rsid w:val="000E5003"/>
    <w:rsid w:val="00103FFE"/>
    <w:rsid w:val="001362C5"/>
    <w:rsid w:val="00143AF7"/>
    <w:rsid w:val="0018773F"/>
    <w:rsid w:val="001B6E99"/>
    <w:rsid w:val="00200268"/>
    <w:rsid w:val="002106B1"/>
    <w:rsid w:val="00290D3B"/>
    <w:rsid w:val="002B1E3B"/>
    <w:rsid w:val="003101B4"/>
    <w:rsid w:val="00312391"/>
    <w:rsid w:val="003161DC"/>
    <w:rsid w:val="00370559"/>
    <w:rsid w:val="003A01C5"/>
    <w:rsid w:val="00452AEE"/>
    <w:rsid w:val="004674B6"/>
    <w:rsid w:val="004D5EE8"/>
    <w:rsid w:val="0055013E"/>
    <w:rsid w:val="00584576"/>
    <w:rsid w:val="005A2080"/>
    <w:rsid w:val="006213DB"/>
    <w:rsid w:val="00637897"/>
    <w:rsid w:val="006625BC"/>
    <w:rsid w:val="00703D68"/>
    <w:rsid w:val="00732B0B"/>
    <w:rsid w:val="007D011C"/>
    <w:rsid w:val="00814009"/>
    <w:rsid w:val="0081758D"/>
    <w:rsid w:val="00874E2A"/>
    <w:rsid w:val="008D748B"/>
    <w:rsid w:val="008F662B"/>
    <w:rsid w:val="0091692B"/>
    <w:rsid w:val="009402CB"/>
    <w:rsid w:val="00965AB7"/>
    <w:rsid w:val="00972CAC"/>
    <w:rsid w:val="009E41B8"/>
    <w:rsid w:val="00A12CE1"/>
    <w:rsid w:val="00A22070"/>
    <w:rsid w:val="00A56DC7"/>
    <w:rsid w:val="00AA5829"/>
    <w:rsid w:val="00B96CE4"/>
    <w:rsid w:val="00BF30B6"/>
    <w:rsid w:val="00C3059D"/>
    <w:rsid w:val="00C34765"/>
    <w:rsid w:val="00C35A23"/>
    <w:rsid w:val="00C952B1"/>
    <w:rsid w:val="00CF60A5"/>
    <w:rsid w:val="00D4234B"/>
    <w:rsid w:val="00DB487F"/>
    <w:rsid w:val="00DD1E4B"/>
    <w:rsid w:val="00E5769C"/>
    <w:rsid w:val="00E82DF1"/>
    <w:rsid w:val="00EB540A"/>
    <w:rsid w:val="00EC2225"/>
    <w:rsid w:val="00EC39F7"/>
    <w:rsid w:val="00F22569"/>
    <w:rsid w:val="00F47156"/>
    <w:rsid w:val="00F513B3"/>
    <w:rsid w:val="00F80B1C"/>
    <w:rsid w:val="00F977A0"/>
    <w:rsid w:val="00FD5D0B"/>
    <w:rsid w:val="00FF7762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9A8F"/>
  <w15:docId w15:val="{5C9ADD8F-DEC8-43FC-943D-7C9ACFBA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CF60A5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BF30B6"/>
    <w:rPr>
      <w:rFonts w:eastAsia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BF30B6"/>
    <w:pPr>
      <w:widowControl w:val="0"/>
      <w:shd w:val="clear" w:color="auto" w:fill="FFFFFF"/>
      <w:spacing w:line="315" w:lineRule="exact"/>
      <w:ind w:hanging="380"/>
    </w:pPr>
    <w:rPr>
      <w:rFonts w:eastAsia="Times New Roman" w:cs="Times New Roman"/>
    </w:rPr>
  </w:style>
  <w:style w:type="character" w:styleId="a6">
    <w:name w:val="Hyperlink"/>
    <w:basedOn w:val="a0"/>
    <w:uiPriority w:val="99"/>
    <w:unhideWhenUsed/>
    <w:rsid w:val="002B1E3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B1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gor.org.ua/publ/sportivnaja_farmakologija/3-1-0-137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portpharma.ru/book/b1_oglavlenie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ortmedexpo.ru/SportMedicine.html" TargetMode="External"/><Relationship Id="rId11" Type="http://schemas.openxmlformats.org/officeDocument/2006/relationships/hyperlink" Target="http://lugor.org.ua/publ/sportivnaja_farmakologija/3-1-0-1377" TargetMode="External"/><Relationship Id="rId5" Type="http://schemas.openxmlformats.org/officeDocument/2006/relationships/hyperlink" Target="http://mon.gov.ua" TargetMode="External"/><Relationship Id="rId10" Type="http://schemas.openxmlformats.org/officeDocument/2006/relationships/hyperlink" Target="http://www.sportpharma.ru/book/b1_oglavleni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medexpo.ru/SportMedicin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dekanatfmf</dc:creator>
  <cp:keywords/>
  <dc:description/>
  <cp:lastModifiedBy>Andrew</cp:lastModifiedBy>
  <cp:revision>17</cp:revision>
  <dcterms:created xsi:type="dcterms:W3CDTF">2024-03-18T11:12:00Z</dcterms:created>
  <dcterms:modified xsi:type="dcterms:W3CDTF">2024-03-18T11:37:00Z</dcterms:modified>
</cp:coreProperties>
</file>